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71E54E87" w:rsidR="00A160B2" w:rsidRDefault="000F1259" w:rsidP="006C3150">
            <w:pPr>
              <w:pStyle w:val="Heading1"/>
              <w:outlineLvl w:val="0"/>
            </w:pPr>
            <w:r>
              <w:t xml:space="preserve">Licensing and General Purposes </w:t>
            </w:r>
            <w:r w:rsidR="00A160B2">
              <w:t>Committee</w:t>
            </w:r>
          </w:p>
          <w:p w14:paraId="55A88F66" w14:textId="7EE7DDF6"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03B2885" w:rsidR="00A160B2" w:rsidRDefault="00B40AA6" w:rsidP="006C3150">
            <w:pPr>
              <w:pStyle w:val="Infotext"/>
              <w:rPr>
                <w:rFonts w:cs="Arial"/>
              </w:rPr>
            </w:pPr>
            <w:r>
              <w:rPr>
                <w:rFonts w:cs="Arial"/>
              </w:rPr>
              <w:t xml:space="preserve">8 </w:t>
            </w:r>
            <w:r w:rsidR="000F1259">
              <w:rPr>
                <w:rFonts w:cs="Arial"/>
              </w:rPr>
              <w:t>February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7BF4C1A3" w14:textId="77777777" w:rsidR="000F1259" w:rsidRPr="004902A9" w:rsidRDefault="000F1259" w:rsidP="000F1259">
            <w:pPr>
              <w:rPr>
                <w:rFonts w:cs="Arial"/>
              </w:rPr>
            </w:pPr>
            <w:r w:rsidRPr="004902A9">
              <w:rPr>
                <w:rFonts w:cs="Arial"/>
              </w:rPr>
              <w:t xml:space="preserve">Revised </w:t>
            </w:r>
            <w:r>
              <w:rPr>
                <w:rFonts w:cs="Arial"/>
              </w:rPr>
              <w:t>Statement of Licensing Policy (Licensing Act 2003)</w:t>
            </w:r>
          </w:p>
          <w:p w14:paraId="5914456E" w14:textId="77777777" w:rsidR="00A160B2" w:rsidRDefault="00A160B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2B34BA01" w:rsidR="00A160B2" w:rsidRPr="000F1259" w:rsidRDefault="000F1259" w:rsidP="000F1259">
            <w:pPr>
              <w:rPr>
                <w:rFonts w:cs="Arial"/>
                <w:b/>
                <w:bCs/>
                <w:sz w:val="22"/>
                <w:lang w:eastAsia="en-GB"/>
              </w:rPr>
            </w:pPr>
            <w:r w:rsidRPr="004902A9">
              <w:rPr>
                <w:rFonts w:cs="Arial"/>
              </w:rPr>
              <w:t xml:space="preserve">Dipti Patel - Corporate Director of </w:t>
            </w:r>
            <w:r>
              <w:rPr>
                <w:rFonts w:cs="Arial"/>
              </w:rPr>
              <w:t>Place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20D073B5" w:rsidR="00A160B2" w:rsidRDefault="00A160B2" w:rsidP="006C3150">
            <w:pPr>
              <w:pStyle w:val="Infotext"/>
              <w:rPr>
                <w:rFonts w:cs="Arial"/>
              </w:rPr>
            </w:pPr>
            <w:r>
              <w:rPr>
                <w:rFonts w:cs="Arial"/>
              </w:rPr>
              <w:t>No</w:t>
            </w:r>
          </w:p>
          <w:p w14:paraId="4C873B59" w14:textId="77777777" w:rsidR="00A160B2" w:rsidRDefault="00A160B2" w:rsidP="000F1259">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C3DEFB7" w:rsidR="00A160B2" w:rsidRDefault="000F1259" w:rsidP="006C3150">
            <w:pPr>
              <w:pStyle w:val="Infotext"/>
            </w:pPr>
            <w:r>
              <w:rPr>
                <w:rFonts w:cs="Arial"/>
                <w:szCs w:val="24"/>
              </w:rPr>
              <w:t>All</w:t>
            </w:r>
          </w:p>
        </w:tc>
      </w:tr>
      <w:tr w:rsidR="000F1259" w14:paraId="7C35C184" w14:textId="77777777" w:rsidTr="000F1259">
        <w:trPr>
          <w:trHeight w:val="521"/>
        </w:trPr>
        <w:tc>
          <w:tcPr>
            <w:tcW w:w="3388" w:type="dxa"/>
          </w:tcPr>
          <w:p w14:paraId="537C01BC" w14:textId="77777777" w:rsidR="000F1259" w:rsidRPr="00F92398" w:rsidRDefault="000F1259" w:rsidP="000F1259">
            <w:pPr>
              <w:pStyle w:val="Infotext"/>
              <w:rPr>
                <w:rFonts w:ascii="Arial Black" w:hAnsi="Arial Black" w:cs="Arial"/>
              </w:rPr>
            </w:pPr>
          </w:p>
          <w:p w14:paraId="575B6BE7" w14:textId="77777777" w:rsidR="000F1259" w:rsidRPr="00F92398" w:rsidRDefault="000F1259" w:rsidP="000F1259">
            <w:pPr>
              <w:pStyle w:val="Infotext"/>
              <w:rPr>
                <w:rFonts w:ascii="Arial Black" w:hAnsi="Arial Black" w:cs="Arial"/>
              </w:rPr>
            </w:pPr>
            <w:r w:rsidRPr="00F92398">
              <w:rPr>
                <w:rFonts w:ascii="Arial Black" w:hAnsi="Arial Black" w:cs="Arial"/>
              </w:rPr>
              <w:t>Enclosures:</w:t>
            </w:r>
          </w:p>
          <w:p w14:paraId="69475841" w14:textId="77777777" w:rsidR="000F1259" w:rsidRPr="00F92398" w:rsidRDefault="000F1259" w:rsidP="000F1259">
            <w:pPr>
              <w:pStyle w:val="Infotext"/>
              <w:rPr>
                <w:rFonts w:ascii="Arial Black" w:hAnsi="Arial Black" w:cs="Arial"/>
              </w:rPr>
            </w:pPr>
          </w:p>
        </w:tc>
        <w:tc>
          <w:tcPr>
            <w:tcW w:w="4921" w:type="dxa"/>
          </w:tcPr>
          <w:p w14:paraId="432E7455" w14:textId="77777777" w:rsidR="000F1259" w:rsidRDefault="000F1259" w:rsidP="000F1259">
            <w:pPr>
              <w:pStyle w:val="Heading3"/>
              <w:ind w:left="0" w:firstLine="0"/>
              <w:outlineLvl w:val="2"/>
              <w:rPr>
                <w:b w:val="0"/>
              </w:rPr>
            </w:pPr>
          </w:p>
          <w:p w14:paraId="305D4717" w14:textId="07C2471A" w:rsidR="000F1259" w:rsidRPr="004902A9" w:rsidRDefault="000F1259" w:rsidP="000F1259">
            <w:pPr>
              <w:pStyle w:val="Heading3"/>
              <w:ind w:left="0" w:firstLine="0"/>
              <w:outlineLvl w:val="2"/>
              <w:rPr>
                <w:b w:val="0"/>
                <w:i/>
              </w:rPr>
            </w:pPr>
            <w:r w:rsidRPr="004902A9">
              <w:rPr>
                <w:b w:val="0"/>
              </w:rPr>
              <w:t xml:space="preserve">Appendix A - Revised </w:t>
            </w:r>
            <w:r>
              <w:rPr>
                <w:b w:val="0"/>
              </w:rPr>
              <w:t>Licens</w:t>
            </w:r>
            <w:r w:rsidRPr="004902A9">
              <w:rPr>
                <w:b w:val="0"/>
              </w:rPr>
              <w:t xml:space="preserve">ing Policy (Statement of Principles) </w:t>
            </w:r>
          </w:p>
          <w:p w14:paraId="057D1A92" w14:textId="77777777" w:rsidR="000F1259" w:rsidRPr="004902A9" w:rsidRDefault="000F1259" w:rsidP="000F1259">
            <w:pPr>
              <w:pStyle w:val="Infotext"/>
              <w:rPr>
                <w:sz w:val="24"/>
                <w:szCs w:val="24"/>
              </w:rPr>
            </w:pPr>
            <w:r w:rsidRPr="004902A9">
              <w:rPr>
                <w:sz w:val="24"/>
                <w:szCs w:val="24"/>
              </w:rPr>
              <w:t xml:space="preserve">Appendix B </w:t>
            </w:r>
            <w:r>
              <w:rPr>
                <w:sz w:val="24"/>
                <w:szCs w:val="24"/>
              </w:rPr>
              <w:t>–</w:t>
            </w:r>
            <w:r w:rsidRPr="004902A9">
              <w:rPr>
                <w:sz w:val="24"/>
                <w:szCs w:val="24"/>
              </w:rPr>
              <w:t xml:space="preserve"> </w:t>
            </w:r>
            <w:r>
              <w:rPr>
                <w:sz w:val="24"/>
                <w:szCs w:val="24"/>
              </w:rPr>
              <w:t>Revised 2022 Licens</w:t>
            </w:r>
            <w:r w:rsidRPr="004902A9">
              <w:rPr>
                <w:sz w:val="24"/>
                <w:szCs w:val="24"/>
              </w:rPr>
              <w:t>ing Policy Consultation responses</w:t>
            </w:r>
            <w:r>
              <w:rPr>
                <w:sz w:val="24"/>
                <w:szCs w:val="24"/>
              </w:rPr>
              <w:t xml:space="preserve"> </w:t>
            </w:r>
          </w:p>
          <w:p w14:paraId="4C232B02" w14:textId="2B710505" w:rsidR="000F1259" w:rsidRPr="008E23D6" w:rsidRDefault="000F1259" w:rsidP="000F1259">
            <w:pPr>
              <w:pStyle w:val="Infotext"/>
              <w:rPr>
                <w:sz w:val="24"/>
                <w:szCs w:val="24"/>
              </w:rPr>
            </w:pPr>
            <w:r w:rsidRPr="008E23D6">
              <w:rPr>
                <w:sz w:val="24"/>
                <w:szCs w:val="24"/>
              </w:rPr>
              <w:t>Appendix C – Equalities Impact Assessment (</w:t>
            </w:r>
            <w:proofErr w:type="spellStart"/>
            <w:r w:rsidRPr="008E23D6">
              <w:rPr>
                <w:sz w:val="24"/>
                <w:szCs w:val="24"/>
              </w:rPr>
              <w:t>EqIA</w:t>
            </w:r>
            <w:proofErr w:type="spellEnd"/>
            <w:r w:rsidRPr="008E23D6">
              <w:rPr>
                <w:sz w:val="24"/>
                <w:szCs w:val="24"/>
              </w:rPr>
              <w:t>)</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0BDEA2FF" w14:textId="77777777" w:rsidR="000F1259" w:rsidRPr="00B50104" w:rsidRDefault="000F1259" w:rsidP="000F1259">
            <w:pPr>
              <w:jc w:val="both"/>
            </w:pPr>
            <w:r>
              <w:t xml:space="preserve">The Council in its role as the licensing authority for Harrow under the Licensing Act 2003 (‘the Act’) is required to publish and keep under review a Statement of Licensing Policy. </w:t>
            </w:r>
            <w:r w:rsidRPr="00B50104">
              <w:t xml:space="preserve">This report </w:t>
            </w:r>
            <w:r>
              <w:t>encloses the latest proposed Statement of Licensing Policy which has been revised since it was last approved by Council.</w:t>
            </w:r>
            <w:r w:rsidRPr="00B50104">
              <w:t xml:space="preserve">  </w:t>
            </w:r>
          </w:p>
          <w:p w14:paraId="771FB8DF" w14:textId="77777777" w:rsidR="000F1259" w:rsidRDefault="000F1259" w:rsidP="000F1259">
            <w:pPr>
              <w:jc w:val="both"/>
            </w:pPr>
            <w:r w:rsidRPr="00B50104">
              <w:t xml:space="preserve">  </w:t>
            </w:r>
          </w:p>
          <w:p w14:paraId="1704319C" w14:textId="77777777" w:rsidR="000F1259" w:rsidRDefault="000F1259" w:rsidP="000F1259">
            <w:pPr>
              <w:pStyle w:val="Heading2"/>
              <w:jc w:val="both"/>
            </w:pPr>
            <w:r>
              <w:t xml:space="preserve">Recommendations: </w:t>
            </w:r>
          </w:p>
          <w:p w14:paraId="16EFE50C" w14:textId="580DEDA0" w:rsidR="000F1259" w:rsidRDefault="000F1259" w:rsidP="000F1259">
            <w:pPr>
              <w:jc w:val="both"/>
            </w:pPr>
            <w:r>
              <w:t>The Licensing and General Purposes Committe</w:t>
            </w:r>
            <w:r w:rsidR="00B40AA6">
              <w:t>e</w:t>
            </w:r>
            <w:r>
              <w:t xml:space="preserve"> is requested to:</w:t>
            </w:r>
          </w:p>
          <w:p w14:paraId="0C32B9C1" w14:textId="77777777" w:rsidR="000F1259" w:rsidRDefault="000F1259" w:rsidP="000F1259">
            <w:pPr>
              <w:jc w:val="both"/>
            </w:pPr>
          </w:p>
          <w:p w14:paraId="110CE407" w14:textId="77777777" w:rsidR="000F1259" w:rsidRPr="00764529" w:rsidRDefault="000F1259" w:rsidP="000F1259">
            <w:pPr>
              <w:numPr>
                <w:ilvl w:val="0"/>
                <w:numId w:val="17"/>
              </w:numPr>
              <w:jc w:val="both"/>
              <w:rPr>
                <w:rFonts w:cs="Arial"/>
              </w:rPr>
            </w:pPr>
            <w:r>
              <w:t>Consider the revised Statement of Licensing Policy, the consultation responses, and the Equalities Impact Assessment, as set out in the appendices.</w:t>
            </w:r>
          </w:p>
          <w:p w14:paraId="36949BE3" w14:textId="77777777" w:rsidR="000F1259" w:rsidRPr="00764529" w:rsidRDefault="000F1259" w:rsidP="000F1259">
            <w:pPr>
              <w:ind w:left="720"/>
              <w:jc w:val="both"/>
              <w:rPr>
                <w:rFonts w:cs="Arial"/>
              </w:rPr>
            </w:pPr>
          </w:p>
          <w:p w14:paraId="7E2D27E8" w14:textId="77777777" w:rsidR="000F1259" w:rsidRPr="00623914" w:rsidRDefault="000F1259" w:rsidP="000F1259">
            <w:pPr>
              <w:numPr>
                <w:ilvl w:val="0"/>
                <w:numId w:val="17"/>
              </w:numPr>
              <w:jc w:val="both"/>
              <w:rPr>
                <w:rFonts w:cs="Arial"/>
              </w:rPr>
            </w:pPr>
            <w:r>
              <w:t xml:space="preserve">Subject to any comments or amendments, recommend the revised Statement of Licensing Policy to Council for approval. </w:t>
            </w:r>
          </w:p>
          <w:p w14:paraId="714CBDEE" w14:textId="61FB970C" w:rsidR="00A160B2" w:rsidRDefault="00A160B2" w:rsidP="00A160B2"/>
        </w:tc>
      </w:tr>
    </w:tbl>
    <w:p w14:paraId="53DC7DE2" w14:textId="77777777" w:rsidR="002A2389" w:rsidRDefault="002A2389" w:rsidP="00A160B2">
      <w:pPr>
        <w:pStyle w:val="Heading2"/>
      </w:pPr>
      <w:r>
        <w:t>Section 2 – Report</w:t>
      </w:r>
    </w:p>
    <w:p w14:paraId="209AA70F"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2.1 Background &amp; Current Situation</w:t>
      </w:r>
    </w:p>
    <w:p w14:paraId="6807AA70" w14:textId="77777777" w:rsidR="000F1259" w:rsidRPr="00716366" w:rsidRDefault="000F1259" w:rsidP="000F1259">
      <w:pPr>
        <w:jc w:val="both"/>
        <w:rPr>
          <w:b/>
        </w:rPr>
      </w:pPr>
    </w:p>
    <w:p w14:paraId="0922692D" w14:textId="77777777" w:rsidR="000F1259" w:rsidRDefault="000F1259" w:rsidP="000F1259">
      <w:pPr>
        <w:jc w:val="both"/>
      </w:pPr>
      <w:r>
        <w:t>It is the responsibility of a Licensing Authority to issue licences for premises seeking to carry out any licensable activity under the Licensing Act 2003. Any application must meet the requirements of the legislation, and the applicant must demonstrate they will promote and uphold the four licensing objectives.  Responsible Authorities for the purpose of the Licensing Act are defined in Section 13 of the Act and includes the police, the fire authority, local planning authority etc.  A Licensing Authority can authorise a variation to a licence, reject a licence application or issue a licence (amongst other responsibilities) and these functions should take into account the Licensing Policy as well as other provisions including the duty to promote the statutory objectives (preventing crime and disorder; preventing public nuisance; protecting public safety; and protecting children from harm).</w:t>
      </w:r>
    </w:p>
    <w:p w14:paraId="082998B3" w14:textId="77777777" w:rsidR="000F1259" w:rsidRDefault="000F1259" w:rsidP="000F1259">
      <w:pPr>
        <w:jc w:val="both"/>
      </w:pPr>
    </w:p>
    <w:p w14:paraId="3ED3CB17" w14:textId="77777777" w:rsidR="000F1259" w:rsidRPr="00553DB5" w:rsidRDefault="000F1259" w:rsidP="000F1259">
      <w:pPr>
        <w:jc w:val="both"/>
        <w:rPr>
          <w:b/>
          <w:bCs/>
        </w:rPr>
      </w:pPr>
      <w:r w:rsidRPr="00716366">
        <w:t xml:space="preserve">Under Section </w:t>
      </w:r>
      <w:r>
        <w:t>5</w:t>
      </w:r>
      <w:r w:rsidRPr="00716366">
        <w:t xml:space="preserve"> of the </w:t>
      </w:r>
      <w:r>
        <w:t>Licens</w:t>
      </w:r>
      <w:r w:rsidRPr="00716366">
        <w:t>ing Act 200</w:t>
      </w:r>
      <w:r>
        <w:t>3</w:t>
      </w:r>
      <w:r w:rsidRPr="00716366">
        <w:t>, a licensing authority must prepare a statement of the principles</w:t>
      </w:r>
      <w:r>
        <w:t xml:space="preserve"> (the policy)</w:t>
      </w:r>
      <w:r w:rsidRPr="00716366">
        <w:t xml:space="preserve"> that they propose to apply in exercising their functions under this Act.  The current </w:t>
      </w:r>
      <w:r>
        <w:t>Licens</w:t>
      </w:r>
      <w:r w:rsidRPr="00716366">
        <w:t xml:space="preserve">ing Policy was published </w:t>
      </w:r>
      <w:r>
        <w:t>i</w:t>
      </w:r>
      <w:r w:rsidRPr="00716366">
        <w:t>n 201</w:t>
      </w:r>
      <w:r>
        <w:t>7</w:t>
      </w:r>
      <w:r w:rsidRPr="00716366">
        <w:t xml:space="preserve"> and it is</w:t>
      </w:r>
      <w:r>
        <w:t xml:space="preserve"> </w:t>
      </w:r>
      <w:r w:rsidRPr="00716366">
        <w:t xml:space="preserve">a requirement of the </w:t>
      </w:r>
      <w:r>
        <w:t>Licens</w:t>
      </w:r>
      <w:r w:rsidRPr="00716366">
        <w:t>ing Act that the Authority reviews t</w:t>
      </w:r>
      <w:r>
        <w:t>his</w:t>
      </w:r>
      <w:r w:rsidRPr="00716366">
        <w:t xml:space="preserve"> at least before each successive period of </w:t>
      </w:r>
      <w:r>
        <w:t>fiv</w:t>
      </w:r>
      <w:r w:rsidRPr="00716366">
        <w:t>e years</w:t>
      </w:r>
      <w:r>
        <w:t>. A r</w:t>
      </w:r>
      <w:r w:rsidRPr="00553DB5">
        <w:t>eview of the policy took place in 201</w:t>
      </w:r>
      <w:r>
        <w:t xml:space="preserve">7, </w:t>
      </w:r>
      <w:r w:rsidRPr="00553DB5">
        <w:t xml:space="preserve">and </w:t>
      </w:r>
      <w:r>
        <w:t>subsequently now</w:t>
      </w:r>
      <w:r w:rsidRPr="00553DB5">
        <w:t xml:space="preserve"> in 202</w:t>
      </w:r>
      <w:r>
        <w:t>2</w:t>
      </w:r>
      <w:r w:rsidRPr="00553DB5">
        <w:t xml:space="preserve">.  </w:t>
      </w:r>
    </w:p>
    <w:p w14:paraId="5E2316CF" w14:textId="77777777" w:rsidR="000F1259" w:rsidRPr="00716366" w:rsidRDefault="000F1259" w:rsidP="000F1259">
      <w:pPr>
        <w:jc w:val="both"/>
      </w:pPr>
    </w:p>
    <w:p w14:paraId="032EDACB" w14:textId="77777777" w:rsidR="000F1259" w:rsidRDefault="000F1259" w:rsidP="000F1259">
      <w:pPr>
        <w:jc w:val="both"/>
        <w:rPr>
          <w:rFonts w:cs="Arial"/>
          <w:color w:val="212529"/>
          <w:sz w:val="22"/>
          <w:lang w:eastAsia="en-GB"/>
        </w:rPr>
      </w:pPr>
      <w:r>
        <w:rPr>
          <w:rFonts w:cs="Arial"/>
          <w:color w:val="212529"/>
          <w:lang w:eastAsia="en-GB"/>
        </w:rPr>
        <w:t>The proposed policy is a refresh of the old policy with minor changes made to:</w:t>
      </w:r>
    </w:p>
    <w:p w14:paraId="378C5E2F" w14:textId="77777777" w:rsidR="000F1259" w:rsidRDefault="000F1259" w:rsidP="000F1259">
      <w:pPr>
        <w:numPr>
          <w:ilvl w:val="0"/>
          <w:numId w:val="18"/>
        </w:numPr>
        <w:jc w:val="both"/>
        <w:rPr>
          <w:rFonts w:cs="Arial"/>
          <w:color w:val="212529"/>
        </w:rPr>
      </w:pPr>
      <w:r>
        <w:rPr>
          <w:rFonts w:cs="Arial"/>
          <w:color w:val="212529"/>
        </w:rPr>
        <w:t>Update the scheme of delegation</w:t>
      </w:r>
    </w:p>
    <w:p w14:paraId="1F061303" w14:textId="77777777" w:rsidR="000F1259" w:rsidRDefault="000F1259" w:rsidP="000F1259">
      <w:pPr>
        <w:numPr>
          <w:ilvl w:val="0"/>
          <w:numId w:val="18"/>
        </w:numPr>
        <w:jc w:val="both"/>
        <w:rPr>
          <w:rFonts w:cs="Arial"/>
          <w:color w:val="212529"/>
        </w:rPr>
      </w:pPr>
      <w:r>
        <w:rPr>
          <w:rFonts w:cs="Arial"/>
          <w:color w:val="212529"/>
        </w:rPr>
        <w:t>Provide more information in relation to representations</w:t>
      </w:r>
    </w:p>
    <w:p w14:paraId="47140DB7" w14:textId="77777777" w:rsidR="000F1259" w:rsidRPr="008A02FD" w:rsidRDefault="000F1259" w:rsidP="000F1259">
      <w:pPr>
        <w:numPr>
          <w:ilvl w:val="0"/>
          <w:numId w:val="18"/>
        </w:numPr>
        <w:jc w:val="both"/>
        <w:rPr>
          <w:rFonts w:cs="Arial"/>
          <w:color w:val="212529"/>
        </w:rPr>
      </w:pPr>
      <w:r>
        <w:rPr>
          <w:rFonts w:cs="Arial"/>
          <w:color w:val="212529"/>
        </w:rPr>
        <w:t>Provide more information relating to temporary events</w:t>
      </w:r>
      <w:r w:rsidRPr="008A02FD">
        <w:rPr>
          <w:rFonts w:cs="Arial"/>
          <w:color w:val="212529"/>
        </w:rPr>
        <w:t xml:space="preserve"> </w:t>
      </w:r>
    </w:p>
    <w:p w14:paraId="675F0516" w14:textId="77777777" w:rsidR="000F1259" w:rsidRPr="008A02FD" w:rsidRDefault="000F1259" w:rsidP="000F1259">
      <w:pPr>
        <w:numPr>
          <w:ilvl w:val="0"/>
          <w:numId w:val="18"/>
        </w:numPr>
        <w:jc w:val="both"/>
        <w:rPr>
          <w:rFonts w:cs="Arial"/>
          <w:color w:val="212529"/>
        </w:rPr>
      </w:pPr>
      <w:r w:rsidRPr="008A02FD">
        <w:rPr>
          <w:rFonts w:cs="Arial"/>
          <w:color w:val="212529"/>
        </w:rPr>
        <w:lastRenderedPageBreak/>
        <w:t>Removal &amp; replacement of obsolete terminology and previous organisational names</w:t>
      </w:r>
    </w:p>
    <w:p w14:paraId="43531481" w14:textId="77777777" w:rsidR="000F1259" w:rsidRPr="008A02FD" w:rsidRDefault="000F1259" w:rsidP="000F1259">
      <w:pPr>
        <w:numPr>
          <w:ilvl w:val="0"/>
          <w:numId w:val="18"/>
        </w:numPr>
        <w:jc w:val="both"/>
        <w:rPr>
          <w:rFonts w:cs="Arial"/>
          <w:color w:val="212529"/>
        </w:rPr>
      </w:pPr>
      <w:r w:rsidRPr="008A02FD">
        <w:rPr>
          <w:rFonts w:cs="Arial"/>
          <w:color w:val="212529"/>
        </w:rPr>
        <w:t>Amendments to grammar to allow for Policy to be more succinct.</w:t>
      </w:r>
    </w:p>
    <w:p w14:paraId="654667D6" w14:textId="77777777" w:rsidR="000F1259" w:rsidRDefault="000F1259" w:rsidP="000F1259">
      <w:pPr>
        <w:jc w:val="both"/>
      </w:pPr>
    </w:p>
    <w:p w14:paraId="590A67D0" w14:textId="0B4C336E" w:rsidR="000F1259" w:rsidRDefault="000F1259" w:rsidP="000F1259">
      <w:pPr>
        <w:jc w:val="both"/>
      </w:pPr>
      <w:r w:rsidRPr="00716366">
        <w:t xml:space="preserve">The </w:t>
      </w:r>
      <w:r>
        <w:t>revised Statement of Licensing Policy attached to this report as Appendix A</w:t>
      </w:r>
      <w:r w:rsidRPr="00716366">
        <w:t xml:space="preserve"> was under consultation </w:t>
      </w:r>
      <w:r>
        <w:t>for 28 days.</w:t>
      </w:r>
    </w:p>
    <w:p w14:paraId="7F3D860D" w14:textId="77777777" w:rsidR="000F1259" w:rsidRDefault="000F1259" w:rsidP="000F1259">
      <w:pPr>
        <w:jc w:val="both"/>
      </w:pPr>
    </w:p>
    <w:p w14:paraId="764CABB6" w14:textId="77777777" w:rsidR="000F1259" w:rsidRDefault="000F1259" w:rsidP="000F1259">
      <w:pPr>
        <w:jc w:val="both"/>
      </w:pPr>
      <w:r w:rsidRPr="00645ABC">
        <w:t>The responses to that consultation are attached to this report as Appendix B.</w:t>
      </w:r>
    </w:p>
    <w:p w14:paraId="76646338" w14:textId="77777777" w:rsidR="000F1259" w:rsidRDefault="000F1259" w:rsidP="000F1259">
      <w:pPr>
        <w:jc w:val="both"/>
      </w:pPr>
      <w:r>
        <w:t xml:space="preserve"> </w:t>
      </w:r>
    </w:p>
    <w:p w14:paraId="043F5029" w14:textId="77777777" w:rsidR="000F1259" w:rsidRDefault="000F1259" w:rsidP="000F1259">
      <w:pPr>
        <w:jc w:val="both"/>
      </w:pPr>
      <w:r>
        <w:t xml:space="preserve">Members of the Licensing and General Purposes Committee form the Licensing Panels that hear applications under the Act. The Council acts as the full licensing authority in order to adopt the Statement of Licensing Policy. </w:t>
      </w:r>
    </w:p>
    <w:p w14:paraId="0BF2EF44" w14:textId="77777777" w:rsidR="000F1259" w:rsidRPr="00716366" w:rsidRDefault="000F1259" w:rsidP="000F1259">
      <w:pPr>
        <w:jc w:val="both"/>
      </w:pPr>
    </w:p>
    <w:p w14:paraId="01D1CA4A"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2.2 Main Options</w:t>
      </w:r>
    </w:p>
    <w:p w14:paraId="684A3067" w14:textId="77777777" w:rsidR="000F1259" w:rsidRPr="00716366" w:rsidRDefault="000F1259" w:rsidP="000F1259">
      <w:pPr>
        <w:jc w:val="both"/>
      </w:pPr>
    </w:p>
    <w:p w14:paraId="012FD01E" w14:textId="2961FF8C" w:rsidR="000F1259" w:rsidRDefault="000F1259" w:rsidP="000F1259">
      <w:pPr>
        <w:jc w:val="both"/>
        <w:rPr>
          <w:rFonts w:eastAsia="Arial" w:cs="Arial"/>
          <w:szCs w:val="24"/>
        </w:rPr>
      </w:pPr>
      <w:r>
        <w:rPr>
          <w:rFonts w:eastAsia="Arial" w:cs="Arial"/>
          <w:szCs w:val="24"/>
        </w:rPr>
        <w:t>The London Borough of Harrow, as licensing authority, has a duty to prepare, consult and publish a statement of licensing policy (and to review) this at</w:t>
      </w:r>
      <w:r w:rsidR="00B40AA6">
        <w:rPr>
          <w:rFonts w:eastAsia="Arial" w:cs="Arial"/>
          <w:szCs w:val="24"/>
        </w:rPr>
        <w:t xml:space="preserve"> </w:t>
      </w:r>
      <w:r>
        <w:rPr>
          <w:rFonts w:eastAsia="Arial" w:cs="Arial"/>
          <w:szCs w:val="24"/>
        </w:rPr>
        <w:t>least every five years.   Failure to approve this policy (with or without changes) could leave London Borough of Harrow susceptible to a challenge over the enforceability of the current policy and/or its failure to comply with statutory requirements.</w:t>
      </w:r>
    </w:p>
    <w:p w14:paraId="224FBA36" w14:textId="77777777" w:rsidR="000F1259" w:rsidRDefault="000F1259" w:rsidP="000F1259">
      <w:pPr>
        <w:jc w:val="both"/>
        <w:rPr>
          <w:rFonts w:eastAsia="Arial" w:cs="Arial"/>
          <w:szCs w:val="24"/>
        </w:rPr>
      </w:pPr>
    </w:p>
    <w:p w14:paraId="67A75CA4" w14:textId="77777777" w:rsidR="000F1259" w:rsidRDefault="000F1259" w:rsidP="000F1259">
      <w:pPr>
        <w:jc w:val="both"/>
        <w:rPr>
          <w:rFonts w:eastAsia="Arial" w:cs="Arial"/>
          <w:szCs w:val="24"/>
        </w:rPr>
      </w:pPr>
      <w:r>
        <w:rPr>
          <w:rFonts w:eastAsia="Arial" w:cs="Arial"/>
          <w:szCs w:val="24"/>
        </w:rPr>
        <w:t>The options (for the Licensing and General Purposes Committee) are therefore to recommend the proposed Statement of Licensing Policy to Council (as drafted, or with amendments), or to not do so.  The latter is not recommended for the reasons stated above.</w:t>
      </w:r>
    </w:p>
    <w:p w14:paraId="1A99FFAC" w14:textId="77777777" w:rsidR="000F1259" w:rsidRPr="00716366" w:rsidRDefault="000F1259" w:rsidP="000F1259">
      <w:pPr>
        <w:jc w:val="both"/>
      </w:pPr>
    </w:p>
    <w:p w14:paraId="20F21D7D"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2.3 Consultation</w:t>
      </w:r>
    </w:p>
    <w:p w14:paraId="0361FA23" w14:textId="77777777" w:rsidR="000F1259" w:rsidRPr="00716366" w:rsidRDefault="000F1259" w:rsidP="000F1259">
      <w:pPr>
        <w:jc w:val="both"/>
      </w:pPr>
    </w:p>
    <w:p w14:paraId="60C5CD41" w14:textId="055DB58B" w:rsidR="000F1259" w:rsidRPr="00121493" w:rsidRDefault="000F1259" w:rsidP="000F1259">
      <w:pPr>
        <w:jc w:val="both"/>
        <w:rPr>
          <w:color w:val="FF0000"/>
        </w:rPr>
      </w:pPr>
      <w:r w:rsidRPr="00716366">
        <w:t>A consultation on the proposed</w:t>
      </w:r>
      <w:r>
        <w:t xml:space="preserve"> Licens</w:t>
      </w:r>
      <w:r w:rsidRPr="00716366">
        <w:t>ing Policy took place f</w:t>
      </w:r>
      <w:r>
        <w:t>or a period of 28 days.</w:t>
      </w:r>
    </w:p>
    <w:p w14:paraId="1F602DD4" w14:textId="77777777" w:rsidR="000F1259" w:rsidRPr="00716366" w:rsidRDefault="000F1259" w:rsidP="000F1259">
      <w:pPr>
        <w:jc w:val="both"/>
      </w:pPr>
    </w:p>
    <w:p w14:paraId="47CAD11E" w14:textId="77777777" w:rsidR="000F1259" w:rsidRPr="00716366" w:rsidRDefault="000F1259" w:rsidP="000F1259">
      <w:pPr>
        <w:jc w:val="both"/>
      </w:pPr>
      <w:r w:rsidRPr="00716366">
        <w:t xml:space="preserve">The consultation was carried out in accordance with the </w:t>
      </w:r>
      <w:r>
        <w:t>Licensing Act 2003, which</w:t>
      </w:r>
      <w:r w:rsidRPr="00716366">
        <w:t xml:space="preserve"> requires the licensing authority</w:t>
      </w:r>
      <w:r>
        <w:t xml:space="preserve"> (under section 5)</w:t>
      </w:r>
      <w:r w:rsidRPr="00716366">
        <w:t xml:space="preserve"> to consult the following on the policy statement or any subsequent revision to it</w:t>
      </w:r>
      <w:r>
        <w:t>:</w:t>
      </w:r>
    </w:p>
    <w:p w14:paraId="4AC54117" w14:textId="77777777" w:rsidR="000F1259" w:rsidRPr="00716366" w:rsidRDefault="000F1259" w:rsidP="000F1259">
      <w:pPr>
        <w:jc w:val="both"/>
      </w:pPr>
    </w:p>
    <w:p w14:paraId="0C5EFD5B"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t>(a) the chief officer of police for the licensing authority’s area,</w:t>
      </w:r>
    </w:p>
    <w:p w14:paraId="332A320C"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t>(b) the </w:t>
      </w:r>
      <w:r w:rsidRPr="00645ABC">
        <w:rPr>
          <w:rStyle w:val="legsubstitution"/>
          <w:rFonts w:ascii="Arial" w:hAnsi="Arial" w:cs="Arial"/>
          <w:color w:val="000000"/>
        </w:rPr>
        <w:t>fire and rescue authority</w:t>
      </w:r>
      <w:r w:rsidRPr="00645ABC">
        <w:rPr>
          <w:rStyle w:val="legds"/>
          <w:rFonts w:ascii="Arial" w:hAnsi="Arial" w:cs="Arial"/>
          <w:color w:val="000000"/>
        </w:rPr>
        <w:t> for that area,</w:t>
      </w:r>
    </w:p>
    <w:p w14:paraId="74CED3B8"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changedelimiter"/>
          <w:rFonts w:ascii="Arial" w:hAnsi="Arial" w:cs="Arial"/>
          <w:color w:val="000000"/>
        </w:rPr>
        <w:t>-</w:t>
      </w:r>
      <w:r w:rsidRPr="00645ABC">
        <w:rPr>
          <w:rStyle w:val="legaddition"/>
          <w:rFonts w:ascii="Arial" w:hAnsi="Arial" w:cs="Arial"/>
          <w:color w:val="000000"/>
        </w:rPr>
        <w:t xml:space="preserve"> (</w:t>
      </w:r>
      <w:proofErr w:type="spellStart"/>
      <w:r w:rsidRPr="00645ABC">
        <w:rPr>
          <w:rStyle w:val="legaddition"/>
          <w:rFonts w:ascii="Arial" w:hAnsi="Arial" w:cs="Arial"/>
          <w:color w:val="000000"/>
        </w:rPr>
        <w:t>ba</w:t>
      </w:r>
      <w:proofErr w:type="spellEnd"/>
      <w:r w:rsidRPr="00645ABC">
        <w:rPr>
          <w:rStyle w:val="legaddition"/>
          <w:rFonts w:ascii="Arial" w:hAnsi="Arial" w:cs="Arial"/>
          <w:color w:val="000000"/>
        </w:rPr>
        <w:t>) each Local Health Board for an area any part of which is in the licensing authority's area,</w:t>
      </w:r>
    </w:p>
    <w:p w14:paraId="3D9D201F"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changedelimiter"/>
          <w:rFonts w:ascii="Arial" w:hAnsi="Arial" w:cs="Arial"/>
          <w:color w:val="000000"/>
        </w:rPr>
        <w:t>-</w:t>
      </w:r>
      <w:r w:rsidRPr="00645ABC">
        <w:rPr>
          <w:rStyle w:val="legaddition"/>
          <w:rFonts w:ascii="Arial" w:hAnsi="Arial" w:cs="Arial"/>
          <w:color w:val="000000"/>
        </w:rPr>
        <w:t xml:space="preserve"> (bb) each local authority in England whose public health functions within the meaning of the National Health Service Act 2006 are exercisable in respect of an area any part of which is in the licensing authority's area,</w:t>
      </w:r>
    </w:p>
    <w:p w14:paraId="4FE61CDA"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t>(c) such persons as the licensing authority considers to be representative of holders of premises licences issued by that authority,</w:t>
      </w:r>
    </w:p>
    <w:p w14:paraId="49EDBDFF"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t>(d) such persons as the licensing authority considers to be representative of holders of club premises certificates issued by that authority,</w:t>
      </w:r>
    </w:p>
    <w:p w14:paraId="409EC191"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lastRenderedPageBreak/>
        <w:t>(e) such persons as the licensing authority considers to be representative of holders of personal licences issued by that authority, and</w:t>
      </w:r>
    </w:p>
    <w:p w14:paraId="2574C107" w14:textId="77777777" w:rsidR="000F1259" w:rsidRPr="00645ABC" w:rsidRDefault="000F1259" w:rsidP="000F1259">
      <w:pPr>
        <w:pStyle w:val="legclearfix"/>
        <w:shd w:val="clear" w:color="auto" w:fill="FFFFFF"/>
        <w:spacing w:before="0" w:beforeAutospacing="0" w:after="120" w:afterAutospacing="0" w:line="360" w:lineRule="atLeast"/>
        <w:rPr>
          <w:rFonts w:ascii="Arial" w:hAnsi="Arial" w:cs="Arial"/>
          <w:color w:val="000000"/>
        </w:rPr>
      </w:pPr>
      <w:r w:rsidRPr="00645ABC">
        <w:rPr>
          <w:rStyle w:val="legds"/>
          <w:rFonts w:ascii="Arial" w:hAnsi="Arial" w:cs="Arial"/>
          <w:color w:val="000000"/>
        </w:rPr>
        <w:t>(f) such other persons as the licensing authority considers to be representative of businesses and residents in its area.</w:t>
      </w:r>
    </w:p>
    <w:p w14:paraId="0B1DEBDC" w14:textId="77777777" w:rsidR="000F1259" w:rsidRPr="00716366" w:rsidRDefault="000F1259" w:rsidP="000F1259">
      <w:pPr>
        <w:jc w:val="both"/>
      </w:pPr>
    </w:p>
    <w:p w14:paraId="15EE00E2" w14:textId="77777777" w:rsidR="000F1259" w:rsidRDefault="000F1259" w:rsidP="000F1259">
      <w:pPr>
        <w:jc w:val="both"/>
      </w:pPr>
      <w:r w:rsidRPr="00716366">
        <w:t xml:space="preserve">This Authority consulted with the </w:t>
      </w:r>
      <w:r>
        <w:t>above</w:t>
      </w:r>
      <w:r w:rsidRPr="00716366">
        <w:t>,</w:t>
      </w:r>
      <w:r>
        <w:t xml:space="preserve"> including a selection of</w:t>
      </w:r>
      <w:r w:rsidRPr="00716366">
        <w:t xml:space="preserve"> premises carrying out </w:t>
      </w:r>
      <w:r>
        <w:t>licensable</w:t>
      </w:r>
      <w:r w:rsidRPr="00716366">
        <w:t xml:space="preserve"> activities in Harrow,.  Furthermore, the consultation and proposed </w:t>
      </w:r>
      <w:r>
        <w:t xml:space="preserve">licensing </w:t>
      </w:r>
      <w:r w:rsidRPr="00716366">
        <w:t>policy were published on the Council’s website</w:t>
      </w:r>
      <w:r>
        <w:t xml:space="preserve"> so that anyone who wished to comment could do so </w:t>
      </w:r>
      <w:r w:rsidRPr="00716366">
        <w:t xml:space="preserve">.  </w:t>
      </w:r>
    </w:p>
    <w:p w14:paraId="66A4AD26" w14:textId="77777777" w:rsidR="000F1259" w:rsidRDefault="000F1259" w:rsidP="000F1259">
      <w:pPr>
        <w:jc w:val="both"/>
      </w:pPr>
    </w:p>
    <w:p w14:paraId="56937CD8" w14:textId="77777777" w:rsidR="000F1259" w:rsidRPr="001F659B" w:rsidRDefault="000F1259" w:rsidP="000F1259">
      <w:pPr>
        <w:jc w:val="both"/>
      </w:pPr>
      <w:r>
        <w:t>Responses to the consultation can be found in Appendix B.</w:t>
      </w:r>
    </w:p>
    <w:p w14:paraId="732955D7" w14:textId="77777777" w:rsidR="000F1259" w:rsidRPr="00716366" w:rsidRDefault="000F1259" w:rsidP="000F1259">
      <w:pPr>
        <w:jc w:val="both"/>
      </w:pPr>
    </w:p>
    <w:p w14:paraId="13CEFE1D"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2.4 Legal Implications</w:t>
      </w:r>
    </w:p>
    <w:p w14:paraId="06F74C52" w14:textId="77777777" w:rsidR="000F1259" w:rsidRDefault="000F1259" w:rsidP="000F1259">
      <w:pPr>
        <w:jc w:val="both"/>
      </w:pPr>
    </w:p>
    <w:p w14:paraId="58379897" w14:textId="77777777" w:rsidR="000F1259" w:rsidRDefault="000F1259" w:rsidP="000F1259">
      <w:pPr>
        <w:jc w:val="both"/>
      </w:pPr>
      <w:r>
        <w:t xml:space="preserve">Section 5 of the Licensing Act 2003 requires a licensing authority in respect of each five-year period to determine its licensing policy with respect to the exercise of its licensing functions and to publish this before the beginning of the period. </w:t>
      </w:r>
    </w:p>
    <w:p w14:paraId="67E5B889" w14:textId="77777777" w:rsidR="000F1259" w:rsidRDefault="000F1259" w:rsidP="000F1259">
      <w:pPr>
        <w:jc w:val="both"/>
      </w:pPr>
    </w:p>
    <w:p w14:paraId="72E55E3F" w14:textId="77777777" w:rsidR="000F1259" w:rsidRDefault="000F1259" w:rsidP="000F1259">
      <w:pPr>
        <w:jc w:val="both"/>
      </w:pPr>
      <w:r>
        <w:t>As noted above, section 5(3) of the Act lists those persons that must be consulted by a licensing authority in relation to a proposed Statement of Licensing Policy and section 5(4) of the Act requires an authority to keep this policy under review and to make such revisions to it, at such times, as it considers appropriate, again subject to the same consultation requirements.</w:t>
      </w:r>
    </w:p>
    <w:p w14:paraId="645D881A" w14:textId="77777777" w:rsidR="000F1259" w:rsidRDefault="000F1259" w:rsidP="000F1259">
      <w:pPr>
        <w:jc w:val="both"/>
      </w:pPr>
    </w:p>
    <w:p w14:paraId="733B38F7" w14:textId="77777777" w:rsidR="000F1259" w:rsidRDefault="000F1259" w:rsidP="000F1259">
      <w:pPr>
        <w:jc w:val="both"/>
      </w:pPr>
      <w:r>
        <w:t>The authority must publish a statement of the revisions (to the policy) or the revised policy itself if revisions are made and approved.  The proposed policy will apply after the date it is adopted by the licensing authority.</w:t>
      </w:r>
      <w:r w:rsidRPr="00716366" w:rsidDel="005361D5">
        <w:t xml:space="preserve"> </w:t>
      </w:r>
    </w:p>
    <w:p w14:paraId="42054EAC" w14:textId="77777777" w:rsidR="000F1259" w:rsidRDefault="000F1259" w:rsidP="000F1259">
      <w:pPr>
        <w:jc w:val="both"/>
      </w:pPr>
    </w:p>
    <w:p w14:paraId="60A7E889"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2.5 Equalities Impact</w:t>
      </w:r>
    </w:p>
    <w:p w14:paraId="2490B79F" w14:textId="77777777" w:rsidR="000F1259" w:rsidRPr="00716366" w:rsidRDefault="000F1259" w:rsidP="000F1259">
      <w:pPr>
        <w:widowControl w:val="0"/>
        <w:tabs>
          <w:tab w:val="left" w:pos="709"/>
          <w:tab w:val="left" w:pos="3119"/>
          <w:tab w:val="left" w:pos="3686"/>
          <w:tab w:val="left" w:pos="4253"/>
        </w:tabs>
        <w:adjustRightInd w:val="0"/>
        <w:ind w:left="142"/>
        <w:contextualSpacing/>
        <w:jc w:val="both"/>
        <w:textAlignment w:val="baseline"/>
        <w:outlineLvl w:val="0"/>
        <w:rPr>
          <w:rFonts w:cs="Arial"/>
          <w:bCs/>
          <w:iCs/>
          <w:szCs w:val="24"/>
        </w:rPr>
      </w:pPr>
    </w:p>
    <w:p w14:paraId="5EE11F29" w14:textId="77777777" w:rsidR="000F1259" w:rsidRPr="00716366" w:rsidRDefault="000F1259" w:rsidP="000F1259">
      <w:pPr>
        <w:widowControl w:val="0"/>
        <w:tabs>
          <w:tab w:val="left" w:pos="709"/>
          <w:tab w:val="left" w:pos="3119"/>
          <w:tab w:val="left" w:pos="3686"/>
          <w:tab w:val="left" w:pos="4253"/>
        </w:tabs>
        <w:adjustRightInd w:val="0"/>
        <w:contextualSpacing/>
        <w:jc w:val="both"/>
        <w:textAlignment w:val="baseline"/>
        <w:outlineLvl w:val="0"/>
        <w:rPr>
          <w:rFonts w:cs="Arial"/>
          <w:bCs/>
          <w:iCs/>
          <w:szCs w:val="24"/>
        </w:rPr>
      </w:pPr>
      <w:r w:rsidRPr="00716366">
        <w:rPr>
          <w:rFonts w:cs="Arial"/>
          <w:szCs w:val="24"/>
        </w:rPr>
        <w:t>Under s</w:t>
      </w:r>
      <w:r w:rsidRPr="00716366">
        <w:rPr>
          <w:rFonts w:cs="Arial"/>
          <w:bCs/>
          <w:iCs/>
          <w:szCs w:val="24"/>
        </w:rPr>
        <w:t>ection 149 of the Equality Act 2010, the Council (as a public authority) has a duty to have due regard to the need to:</w:t>
      </w:r>
    </w:p>
    <w:p w14:paraId="7D753DE9" w14:textId="77777777" w:rsidR="000F1259" w:rsidRPr="00716366" w:rsidRDefault="000F1259" w:rsidP="000F1259">
      <w:pPr>
        <w:widowControl w:val="0"/>
        <w:tabs>
          <w:tab w:val="left" w:pos="709"/>
          <w:tab w:val="left" w:pos="3119"/>
          <w:tab w:val="left" w:pos="3686"/>
          <w:tab w:val="left" w:pos="4253"/>
        </w:tabs>
        <w:adjustRightInd w:val="0"/>
        <w:contextualSpacing/>
        <w:jc w:val="both"/>
        <w:textAlignment w:val="baseline"/>
        <w:outlineLvl w:val="0"/>
        <w:rPr>
          <w:rFonts w:cs="Arial"/>
          <w:bCs/>
          <w:iCs/>
          <w:szCs w:val="24"/>
        </w:rPr>
      </w:pPr>
    </w:p>
    <w:p w14:paraId="15D50191" w14:textId="77777777" w:rsidR="000F1259" w:rsidRPr="00716366" w:rsidRDefault="000F1259" w:rsidP="000F1259">
      <w:pPr>
        <w:widowControl w:val="0"/>
        <w:tabs>
          <w:tab w:val="left" w:pos="709"/>
          <w:tab w:val="left" w:pos="3119"/>
          <w:tab w:val="left" w:pos="3686"/>
          <w:tab w:val="left" w:pos="4253"/>
        </w:tabs>
        <w:adjustRightInd w:val="0"/>
        <w:ind w:left="709"/>
        <w:contextualSpacing/>
        <w:jc w:val="both"/>
        <w:textAlignment w:val="baseline"/>
        <w:outlineLvl w:val="0"/>
        <w:rPr>
          <w:rFonts w:cs="Arial"/>
          <w:bCs/>
          <w:iCs/>
          <w:szCs w:val="24"/>
        </w:rPr>
      </w:pPr>
      <w:r w:rsidRPr="00716366">
        <w:rPr>
          <w:rFonts w:cs="Arial"/>
          <w:bCs/>
          <w:iCs/>
          <w:szCs w:val="24"/>
        </w:rPr>
        <w:t xml:space="preserve">- eliminate discrimination, harassment, victimisation and any other conduct that is prohibited by or under the Act, </w:t>
      </w:r>
    </w:p>
    <w:p w14:paraId="27A9DD23" w14:textId="77777777" w:rsidR="000F1259" w:rsidRPr="00716366" w:rsidRDefault="000F1259" w:rsidP="000F1259">
      <w:pPr>
        <w:widowControl w:val="0"/>
        <w:tabs>
          <w:tab w:val="left" w:pos="709"/>
          <w:tab w:val="left" w:pos="3119"/>
          <w:tab w:val="left" w:pos="3686"/>
          <w:tab w:val="left" w:pos="4253"/>
        </w:tabs>
        <w:adjustRightInd w:val="0"/>
        <w:ind w:left="709"/>
        <w:contextualSpacing/>
        <w:jc w:val="both"/>
        <w:textAlignment w:val="baseline"/>
        <w:outlineLvl w:val="0"/>
        <w:rPr>
          <w:rFonts w:cs="Arial"/>
          <w:bCs/>
          <w:iCs/>
          <w:szCs w:val="24"/>
        </w:rPr>
      </w:pPr>
    </w:p>
    <w:p w14:paraId="3A9549CD" w14:textId="77777777" w:rsidR="000F1259" w:rsidRPr="00716366" w:rsidRDefault="000F1259" w:rsidP="000F1259">
      <w:pPr>
        <w:widowControl w:val="0"/>
        <w:tabs>
          <w:tab w:val="left" w:pos="709"/>
          <w:tab w:val="left" w:pos="3119"/>
          <w:tab w:val="left" w:pos="3686"/>
          <w:tab w:val="left" w:pos="4253"/>
        </w:tabs>
        <w:adjustRightInd w:val="0"/>
        <w:ind w:left="709"/>
        <w:contextualSpacing/>
        <w:jc w:val="both"/>
        <w:textAlignment w:val="baseline"/>
        <w:outlineLvl w:val="0"/>
        <w:rPr>
          <w:rFonts w:cs="Arial"/>
          <w:bCs/>
          <w:iCs/>
          <w:szCs w:val="24"/>
        </w:rPr>
      </w:pPr>
      <w:r w:rsidRPr="00716366">
        <w:rPr>
          <w:rFonts w:cs="Arial"/>
          <w:bCs/>
          <w:iCs/>
          <w:szCs w:val="24"/>
        </w:rPr>
        <w:t>- advance equality of opportunity between persons with a protected characteristic and those without</w:t>
      </w:r>
    </w:p>
    <w:p w14:paraId="0C3D1F42" w14:textId="77777777" w:rsidR="000F1259" w:rsidRPr="00716366" w:rsidRDefault="000F1259" w:rsidP="000F1259">
      <w:pPr>
        <w:widowControl w:val="0"/>
        <w:tabs>
          <w:tab w:val="left" w:pos="709"/>
          <w:tab w:val="left" w:pos="3119"/>
          <w:tab w:val="left" w:pos="3686"/>
          <w:tab w:val="left" w:pos="4253"/>
        </w:tabs>
        <w:adjustRightInd w:val="0"/>
        <w:ind w:left="709"/>
        <w:contextualSpacing/>
        <w:jc w:val="both"/>
        <w:textAlignment w:val="baseline"/>
        <w:outlineLvl w:val="0"/>
        <w:rPr>
          <w:rFonts w:cs="Arial"/>
          <w:bCs/>
          <w:iCs/>
          <w:szCs w:val="24"/>
        </w:rPr>
      </w:pPr>
    </w:p>
    <w:p w14:paraId="1FE4DC07" w14:textId="77777777" w:rsidR="000F1259" w:rsidRPr="00716366" w:rsidRDefault="000F1259" w:rsidP="000F1259">
      <w:pPr>
        <w:widowControl w:val="0"/>
        <w:tabs>
          <w:tab w:val="left" w:pos="709"/>
          <w:tab w:val="left" w:pos="3119"/>
          <w:tab w:val="left" w:pos="3686"/>
          <w:tab w:val="left" w:pos="4253"/>
        </w:tabs>
        <w:adjustRightInd w:val="0"/>
        <w:ind w:left="709"/>
        <w:contextualSpacing/>
        <w:jc w:val="both"/>
        <w:textAlignment w:val="baseline"/>
        <w:outlineLvl w:val="0"/>
        <w:rPr>
          <w:rFonts w:cs="Arial"/>
          <w:bCs/>
          <w:iCs/>
          <w:szCs w:val="24"/>
        </w:rPr>
      </w:pPr>
      <w:r w:rsidRPr="00716366">
        <w:rPr>
          <w:rFonts w:cs="Arial"/>
          <w:bCs/>
          <w:iCs/>
          <w:szCs w:val="24"/>
        </w:rPr>
        <w:t>- foster good relations between persons with protected characteristics and those without.</w:t>
      </w:r>
    </w:p>
    <w:p w14:paraId="29D9C319" w14:textId="77777777" w:rsidR="000F1259" w:rsidRPr="00716366" w:rsidRDefault="000F1259" w:rsidP="000F1259">
      <w:pPr>
        <w:widowControl w:val="0"/>
        <w:tabs>
          <w:tab w:val="left" w:pos="3119"/>
          <w:tab w:val="left" w:pos="3686"/>
          <w:tab w:val="left" w:pos="4253"/>
        </w:tabs>
        <w:adjustRightInd w:val="0"/>
        <w:spacing w:after="200" w:line="276" w:lineRule="auto"/>
        <w:ind w:left="709"/>
        <w:contextualSpacing/>
        <w:jc w:val="both"/>
        <w:textAlignment w:val="baseline"/>
        <w:outlineLvl w:val="0"/>
        <w:rPr>
          <w:rFonts w:cs="Arial"/>
          <w:bCs/>
          <w:iCs/>
          <w:szCs w:val="24"/>
        </w:rPr>
      </w:pPr>
    </w:p>
    <w:p w14:paraId="221E65A8" w14:textId="77777777" w:rsidR="000F1259" w:rsidRPr="00716366" w:rsidRDefault="000F1259" w:rsidP="000F1259">
      <w:pPr>
        <w:widowControl w:val="0"/>
        <w:tabs>
          <w:tab w:val="left" w:pos="709"/>
          <w:tab w:val="left" w:pos="3119"/>
          <w:tab w:val="left" w:pos="3686"/>
          <w:tab w:val="left" w:pos="4253"/>
        </w:tabs>
        <w:adjustRightInd w:val="0"/>
        <w:contextualSpacing/>
        <w:jc w:val="both"/>
        <w:textAlignment w:val="baseline"/>
        <w:outlineLvl w:val="0"/>
        <w:rPr>
          <w:rFonts w:cs="Arial"/>
          <w:bCs/>
          <w:iCs/>
          <w:szCs w:val="24"/>
        </w:rPr>
      </w:pPr>
      <w:r w:rsidRPr="00716366">
        <w:rPr>
          <w:rFonts w:cs="Arial"/>
          <w:bCs/>
          <w:iCs/>
          <w:szCs w:val="24"/>
        </w:rPr>
        <w:t xml:space="preserve">The ‘protected characteristics’ are age, race, disability, gender reassignment, pregnancy and maternity, </w:t>
      </w:r>
      <w:r>
        <w:rPr>
          <w:rFonts w:cs="Arial"/>
          <w:bCs/>
          <w:iCs/>
          <w:szCs w:val="24"/>
        </w:rPr>
        <w:t>religion</w:t>
      </w:r>
      <w:r w:rsidRPr="00716366">
        <w:rPr>
          <w:rFonts w:cs="Arial"/>
          <w:bCs/>
          <w:iCs/>
          <w:szCs w:val="24"/>
        </w:rPr>
        <w:t xml:space="preserve"> or belief, sex and sexual orientation</w:t>
      </w:r>
      <w:r>
        <w:rPr>
          <w:rFonts w:cs="Arial"/>
          <w:bCs/>
          <w:iCs/>
          <w:szCs w:val="24"/>
        </w:rPr>
        <w:t>, and marriage and civil partnership</w:t>
      </w:r>
      <w:r w:rsidRPr="00716366">
        <w:rPr>
          <w:rFonts w:cs="Arial"/>
          <w:bCs/>
          <w:iCs/>
          <w:szCs w:val="24"/>
        </w:rPr>
        <w:t>.</w:t>
      </w:r>
    </w:p>
    <w:p w14:paraId="032EB421" w14:textId="77777777" w:rsidR="000F1259" w:rsidRPr="00716366" w:rsidRDefault="000F1259" w:rsidP="000F1259">
      <w:pPr>
        <w:jc w:val="both"/>
      </w:pPr>
    </w:p>
    <w:p w14:paraId="31C0FE27" w14:textId="77777777" w:rsidR="000F1259" w:rsidRDefault="000F1259" w:rsidP="000F1259">
      <w:pPr>
        <w:jc w:val="both"/>
      </w:pPr>
      <w:r w:rsidRPr="00716366">
        <w:t>An initial Equalities Impact Assessment (</w:t>
      </w:r>
      <w:proofErr w:type="spellStart"/>
      <w:r w:rsidRPr="00716366">
        <w:t>EqIA</w:t>
      </w:r>
      <w:proofErr w:type="spellEnd"/>
      <w:r w:rsidRPr="00716366">
        <w:t xml:space="preserve">), carried out in line with the Corporate Equalities Policy, established that there were no adverse impacts on </w:t>
      </w:r>
      <w:r w:rsidRPr="00716366">
        <w:lastRenderedPageBreak/>
        <w:t>any of the protected groups arising out of the proposed policy and a full (</w:t>
      </w:r>
      <w:proofErr w:type="spellStart"/>
      <w:r w:rsidRPr="00716366">
        <w:t>EqIA</w:t>
      </w:r>
      <w:proofErr w:type="spellEnd"/>
      <w:r w:rsidRPr="00716366">
        <w:t>) was therefore not required.</w:t>
      </w:r>
    </w:p>
    <w:p w14:paraId="53E2DF6F" w14:textId="77777777" w:rsidR="000F1259" w:rsidRDefault="000F1259" w:rsidP="000F1259">
      <w:pPr>
        <w:jc w:val="both"/>
      </w:pPr>
    </w:p>
    <w:p w14:paraId="41A277D2" w14:textId="77777777" w:rsidR="000F1259" w:rsidRPr="00716366" w:rsidRDefault="000F1259" w:rsidP="000F1259">
      <w:pPr>
        <w:jc w:val="both"/>
      </w:pPr>
    </w:p>
    <w:p w14:paraId="10DB8C9B"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2.6 Financial Implications</w:t>
      </w:r>
    </w:p>
    <w:p w14:paraId="51ADDD91" w14:textId="77777777" w:rsidR="000F1259" w:rsidRPr="00716366" w:rsidRDefault="000F1259" w:rsidP="000F1259">
      <w:pPr>
        <w:jc w:val="both"/>
      </w:pPr>
    </w:p>
    <w:p w14:paraId="1619D38D" w14:textId="77777777" w:rsidR="000F1259" w:rsidRPr="00716366" w:rsidRDefault="000F1259" w:rsidP="000F1259">
      <w:pPr>
        <w:jc w:val="both"/>
      </w:pPr>
      <w:r>
        <w:t xml:space="preserve">The cost of carrying out the duties under the Licensing Act will be met from within the service budget.  </w:t>
      </w:r>
    </w:p>
    <w:p w14:paraId="77D593D2" w14:textId="77777777" w:rsidR="000F1259" w:rsidRPr="00716366" w:rsidRDefault="000F1259" w:rsidP="000F1259">
      <w:pPr>
        <w:jc w:val="both"/>
      </w:pPr>
    </w:p>
    <w:p w14:paraId="5794EA0E"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2.7 Risk Management</w:t>
      </w:r>
    </w:p>
    <w:p w14:paraId="06E40437" w14:textId="77777777" w:rsidR="000F1259" w:rsidRDefault="000F1259" w:rsidP="000F1259">
      <w:pPr>
        <w:jc w:val="both"/>
      </w:pPr>
    </w:p>
    <w:p w14:paraId="74825F62" w14:textId="77777777" w:rsidR="000F1259" w:rsidRPr="00105B8A" w:rsidRDefault="000F1259" w:rsidP="000F1259">
      <w:pPr>
        <w:tabs>
          <w:tab w:val="left" w:pos="5610"/>
        </w:tabs>
        <w:ind w:right="81"/>
        <w:jc w:val="both"/>
        <w:rPr>
          <w:color w:val="0000FF"/>
        </w:rPr>
      </w:pPr>
      <w:r>
        <w:rPr>
          <w:rFonts w:cs="Arial"/>
          <w:szCs w:val="24"/>
          <w:lang w:val="en-US"/>
        </w:rPr>
        <w:t xml:space="preserve">Risks included on corporate or directorate risk register? </w:t>
      </w:r>
      <w:r>
        <w:rPr>
          <w:rFonts w:cs="Arial"/>
          <w:b/>
          <w:bCs/>
          <w:szCs w:val="24"/>
          <w:lang w:val="en-US"/>
        </w:rPr>
        <w:t>No</w:t>
      </w:r>
    </w:p>
    <w:p w14:paraId="489235A7" w14:textId="77777777" w:rsidR="000F1259" w:rsidRDefault="000F1259" w:rsidP="000F1259">
      <w:pPr>
        <w:ind w:left="-142" w:right="141"/>
        <w:jc w:val="both"/>
        <w:rPr>
          <w:rFonts w:cs="Arial"/>
          <w:szCs w:val="24"/>
          <w:lang w:val="en-US" w:eastAsia="en-GB"/>
        </w:rPr>
      </w:pPr>
      <w:r>
        <w:rPr>
          <w:rFonts w:cs="Arial"/>
          <w:szCs w:val="24"/>
          <w:lang w:val="en-US" w:eastAsia="en-GB"/>
        </w:rPr>
        <w:t xml:space="preserve">  </w:t>
      </w:r>
    </w:p>
    <w:p w14:paraId="2C2115AB" w14:textId="77777777" w:rsidR="000F1259" w:rsidRPr="00094265" w:rsidRDefault="000F1259" w:rsidP="000F1259">
      <w:pPr>
        <w:ind w:left="-142" w:right="141" w:firstLine="142"/>
        <w:jc w:val="both"/>
        <w:rPr>
          <w:rFonts w:cs="Arial"/>
          <w:color w:val="4472C4"/>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0C491E56" w14:textId="77777777" w:rsidR="000F1259" w:rsidRDefault="000F1259" w:rsidP="000F1259">
      <w:pPr>
        <w:tabs>
          <w:tab w:val="left" w:pos="5610"/>
        </w:tabs>
        <w:ind w:left="567" w:right="81" w:hanging="567"/>
        <w:jc w:val="both"/>
      </w:pPr>
    </w:p>
    <w:p w14:paraId="6C1D7B38" w14:textId="77777777" w:rsidR="000F1259" w:rsidRDefault="000F1259" w:rsidP="000F1259">
      <w:pPr>
        <w:tabs>
          <w:tab w:val="left" w:pos="5610"/>
        </w:tabs>
        <w:ind w:right="81"/>
        <w:jc w:val="both"/>
      </w:pPr>
      <w:r>
        <w:t xml:space="preserve">The relevant risks contained in the register are attached/summarised below. </w:t>
      </w:r>
      <w:r>
        <w:rPr>
          <w:rFonts w:cs="Arial"/>
          <w:b/>
          <w:bCs/>
          <w:szCs w:val="24"/>
          <w:lang w:val="en-US" w:eastAsia="en-GB"/>
        </w:rPr>
        <w:t>N/A</w:t>
      </w:r>
    </w:p>
    <w:p w14:paraId="420CF31A" w14:textId="77777777" w:rsidR="000F1259" w:rsidRDefault="000F1259" w:rsidP="000F1259">
      <w:pPr>
        <w:jc w:val="both"/>
      </w:pPr>
    </w:p>
    <w:p w14:paraId="05D70BAF" w14:textId="77777777" w:rsidR="000F1259" w:rsidRDefault="000F1259" w:rsidP="000F1259">
      <w:pPr>
        <w:jc w:val="both"/>
      </w:pPr>
      <w:r>
        <w:t>The following key risks should be taken into account when agreeing the recommendations in this report:</w:t>
      </w:r>
    </w:p>
    <w:p w14:paraId="25E7E6E2" w14:textId="77777777" w:rsidR="000F1259" w:rsidRDefault="000F1259" w:rsidP="000F1259">
      <w:pPr>
        <w:ind w:left="567" w:right="141" w:hanging="567"/>
        <w:jc w:val="both"/>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794"/>
        <w:gridCol w:w="895"/>
      </w:tblGrid>
      <w:tr w:rsidR="000F1259" w14:paraId="1453777C" w14:textId="77777777" w:rsidTr="00AF797B">
        <w:trPr>
          <w:trHeight w:val="714"/>
        </w:trPr>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2E312" w14:textId="77777777" w:rsidR="000F1259" w:rsidRPr="00E1783F" w:rsidRDefault="000F1259" w:rsidP="00AF797B">
            <w:pPr>
              <w:ind w:right="141"/>
              <w:jc w:val="both"/>
              <w:rPr>
                <w:rFonts w:cs="Arial"/>
                <w:b/>
                <w:bCs/>
                <w:sz w:val="22"/>
                <w:szCs w:val="22"/>
                <w:lang w:val="en-US" w:eastAsia="en-GB"/>
              </w:rPr>
            </w:pPr>
            <w:r w:rsidRPr="00E1783F">
              <w:rPr>
                <w:rFonts w:cs="Arial"/>
                <w:b/>
                <w:bCs/>
                <w:sz w:val="22"/>
                <w:szCs w:val="22"/>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F55E" w14:textId="77777777" w:rsidR="000F1259" w:rsidRPr="00E1783F" w:rsidRDefault="000F1259" w:rsidP="00AF797B">
            <w:pPr>
              <w:ind w:right="141"/>
              <w:jc w:val="both"/>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DAEA19" w14:textId="77777777" w:rsidR="000F1259" w:rsidRPr="00E1783F" w:rsidRDefault="000F1259" w:rsidP="00AF797B">
            <w:pPr>
              <w:ind w:right="141"/>
              <w:jc w:val="both"/>
              <w:rPr>
                <w:rFonts w:cs="Arial"/>
                <w:b/>
                <w:bCs/>
                <w:sz w:val="22"/>
                <w:szCs w:val="22"/>
                <w:lang w:val="en-US" w:eastAsia="en-GB"/>
              </w:rPr>
            </w:pPr>
            <w:r w:rsidRPr="00E1783F">
              <w:rPr>
                <w:rFonts w:cs="Arial"/>
                <w:b/>
                <w:bCs/>
                <w:sz w:val="22"/>
                <w:szCs w:val="22"/>
                <w:lang w:val="en-US" w:eastAsia="en-GB"/>
              </w:rPr>
              <w:t xml:space="preserve">RAG Status </w:t>
            </w:r>
          </w:p>
        </w:tc>
      </w:tr>
      <w:tr w:rsidR="000F1259" w14:paraId="27684A20" w14:textId="77777777" w:rsidTr="00AF797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7E93" w14:textId="77777777" w:rsidR="000F1259" w:rsidRPr="006E6114" w:rsidRDefault="000F1259" w:rsidP="00AF797B">
            <w:pPr>
              <w:ind w:right="141"/>
              <w:jc w:val="both"/>
              <w:rPr>
                <w:rFonts w:cs="Arial"/>
                <w:sz w:val="22"/>
                <w:szCs w:val="22"/>
                <w:lang w:val="en-US" w:eastAsia="en-GB"/>
              </w:rPr>
            </w:pPr>
            <w:r w:rsidRPr="006E6114">
              <w:rPr>
                <w:rFonts w:cs="Arial"/>
                <w:sz w:val="22"/>
                <w:szCs w:val="22"/>
                <w:lang w:val="en-US" w:eastAsia="en-GB"/>
              </w:rPr>
              <w:t xml:space="preserve">Failure to approve a new </w:t>
            </w:r>
            <w:r>
              <w:rPr>
                <w:rFonts w:cs="Arial"/>
                <w:sz w:val="22"/>
                <w:szCs w:val="22"/>
                <w:lang w:val="en-US" w:eastAsia="en-GB"/>
              </w:rPr>
              <w:t>Licensing</w:t>
            </w:r>
            <w:r w:rsidRPr="006E6114">
              <w:rPr>
                <w:rFonts w:cs="Arial"/>
                <w:sz w:val="22"/>
                <w:szCs w:val="22"/>
                <w:lang w:val="en-US" w:eastAsia="en-GB"/>
              </w:rPr>
              <w:t xml:space="preserve"> Statement of </w:t>
            </w:r>
            <w:r>
              <w:rPr>
                <w:rFonts w:cs="Arial"/>
                <w:sz w:val="22"/>
                <w:szCs w:val="22"/>
                <w:lang w:val="en-US" w:eastAsia="en-GB"/>
              </w:rPr>
              <w:t xml:space="preserve"> Policy and/or for this not to occur within the relevant statutory periods could leave the authority susceptible to challenges.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C5E2" w14:textId="77777777" w:rsidR="000F1259" w:rsidRDefault="000F1259" w:rsidP="000F1259">
            <w:pPr>
              <w:pStyle w:val="ListParagraph"/>
              <w:numPr>
                <w:ilvl w:val="0"/>
                <w:numId w:val="15"/>
              </w:numPr>
              <w:suppressAutoHyphens/>
              <w:autoSpaceDN w:val="0"/>
              <w:ind w:left="171" w:right="141" w:hanging="171"/>
              <w:jc w:val="both"/>
              <w:textAlignment w:val="baseline"/>
              <w:rPr>
                <w:lang w:val="en-US"/>
              </w:rPr>
            </w:pPr>
            <w:r>
              <w:rPr>
                <w:lang w:val="en-US"/>
              </w:rPr>
              <w:t>Licensing Act 2003 and revised</w:t>
            </w:r>
            <w:r w:rsidRPr="006E6114">
              <w:rPr>
                <w:lang w:val="en-US"/>
              </w:rPr>
              <w:t xml:space="preserve"> guidance </w:t>
            </w:r>
            <w:r>
              <w:rPr>
                <w:lang w:val="en-US"/>
              </w:rPr>
              <w:t>on preparation of the Statement has been fully followed and complied with in the preparation of this Statement</w:t>
            </w:r>
          </w:p>
          <w:p w14:paraId="355B724D" w14:textId="77777777" w:rsidR="000F1259" w:rsidRDefault="000F1259" w:rsidP="00AF797B">
            <w:pPr>
              <w:pStyle w:val="ListParagraph"/>
              <w:suppressAutoHyphens/>
              <w:autoSpaceDN w:val="0"/>
              <w:ind w:left="171" w:right="141"/>
              <w:jc w:val="both"/>
              <w:textAlignment w:val="baseline"/>
              <w:rPr>
                <w:lang w:val="en-US"/>
              </w:rPr>
            </w:pPr>
          </w:p>
          <w:p w14:paraId="103CCFEA" w14:textId="77777777" w:rsidR="000F1259" w:rsidRPr="00817D34" w:rsidRDefault="000F1259" w:rsidP="000F1259">
            <w:pPr>
              <w:pStyle w:val="ListParagraph"/>
              <w:numPr>
                <w:ilvl w:val="0"/>
                <w:numId w:val="15"/>
              </w:numPr>
              <w:suppressAutoHyphens/>
              <w:autoSpaceDN w:val="0"/>
              <w:ind w:left="171" w:right="141" w:hanging="171"/>
              <w:jc w:val="both"/>
              <w:textAlignment w:val="baseline"/>
              <w:rPr>
                <w:lang w:val="en-US"/>
              </w:rPr>
            </w:pPr>
            <w:r w:rsidRPr="00817D34">
              <w:t xml:space="preserve">The current </w:t>
            </w:r>
            <w:r>
              <w:t>Licens</w:t>
            </w:r>
            <w:r w:rsidRPr="00817D34">
              <w:t xml:space="preserve">ing Statement of Policy was published in </w:t>
            </w:r>
            <w:r>
              <w:t>2017</w:t>
            </w:r>
            <w:r w:rsidRPr="00817D34">
              <w:t xml:space="preserve"> </w:t>
            </w:r>
            <w:r>
              <w:t xml:space="preserve">and once approved the revised policy will come into immediate effect </w:t>
            </w:r>
            <w:r w:rsidRPr="00817D34">
              <w:t xml:space="preserve">in compliance with the </w:t>
            </w:r>
            <w:r>
              <w:t>Licens</w:t>
            </w:r>
            <w:r w:rsidRPr="00817D34">
              <w:t xml:space="preserve">ing Act </w:t>
            </w:r>
            <w:r>
              <w:t>2003 which states that</w:t>
            </w:r>
            <w:r w:rsidRPr="00817D34">
              <w:t xml:space="preserve"> the Statement </w:t>
            </w:r>
            <w:r>
              <w:t>must be</w:t>
            </w:r>
            <w:r w:rsidRPr="00817D34">
              <w:t xml:space="preserve"> reviewed at least every </w:t>
            </w:r>
            <w:r>
              <w:t>five</w:t>
            </w:r>
            <w:r w:rsidRPr="00817D34">
              <w:t xml:space="preserve"> years.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0800F29E" w14:textId="77777777" w:rsidR="000F1259" w:rsidRPr="008116E6" w:rsidRDefault="000F1259" w:rsidP="00AF797B">
            <w:pPr>
              <w:ind w:right="141"/>
              <w:jc w:val="center"/>
              <w:rPr>
                <w:rFonts w:cs="Arial"/>
                <w:b/>
                <w:bCs/>
                <w:sz w:val="22"/>
                <w:szCs w:val="22"/>
                <w:lang w:val="en-US" w:eastAsia="en-GB"/>
              </w:rPr>
            </w:pPr>
            <w:r w:rsidRPr="008116E6">
              <w:rPr>
                <w:rFonts w:cs="Arial"/>
                <w:b/>
                <w:bCs/>
                <w:sz w:val="22"/>
                <w:szCs w:val="22"/>
                <w:lang w:val="en-US" w:eastAsia="en-GB"/>
              </w:rPr>
              <w:t>Green</w:t>
            </w:r>
          </w:p>
        </w:tc>
      </w:tr>
      <w:tr w:rsidR="000F1259" w14:paraId="5968D693" w14:textId="77777777" w:rsidTr="00AF797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08657" w14:textId="77777777" w:rsidR="000F1259" w:rsidRPr="006E6114" w:rsidRDefault="000F1259" w:rsidP="00AF797B">
            <w:pPr>
              <w:ind w:right="141"/>
              <w:jc w:val="both"/>
              <w:rPr>
                <w:rFonts w:cs="Arial"/>
                <w:sz w:val="22"/>
                <w:szCs w:val="22"/>
                <w:lang w:val="en-US" w:eastAsia="en-GB"/>
              </w:rPr>
            </w:pPr>
            <w:r w:rsidRPr="006E6114">
              <w:rPr>
                <w:rFonts w:cs="Arial"/>
                <w:sz w:val="22"/>
                <w:szCs w:val="22"/>
                <w:lang w:val="en-US" w:eastAsia="en-GB"/>
              </w:rPr>
              <w:t xml:space="preserve">Failure to fully consult with residents, businesses and relevant </w:t>
            </w:r>
            <w:proofErr w:type="spellStart"/>
            <w:r w:rsidRPr="006E6114">
              <w:rPr>
                <w:rFonts w:cs="Arial"/>
                <w:sz w:val="22"/>
                <w:szCs w:val="22"/>
                <w:lang w:val="en-US" w:eastAsia="en-GB"/>
              </w:rPr>
              <w:t>organisations</w:t>
            </w:r>
            <w:proofErr w:type="spellEnd"/>
            <w:r w:rsidRPr="006E6114">
              <w:rPr>
                <w:rFonts w:cs="Arial"/>
                <w:sz w:val="22"/>
                <w:szCs w:val="22"/>
                <w:lang w:val="en-US" w:eastAsia="en-GB"/>
              </w:rPr>
              <w:t xml:space="preserve"> in the borough affected by the </w:t>
            </w:r>
            <w:r>
              <w:rPr>
                <w:sz w:val="22"/>
                <w:szCs w:val="22"/>
              </w:rPr>
              <w:t>Licens</w:t>
            </w:r>
            <w:r w:rsidRPr="00817D34">
              <w:rPr>
                <w:sz w:val="22"/>
                <w:szCs w:val="22"/>
              </w:rPr>
              <w:t>ing</w:t>
            </w:r>
            <w:r w:rsidRPr="006E6114">
              <w:rPr>
                <w:rFonts w:cs="Arial"/>
                <w:sz w:val="22"/>
                <w:szCs w:val="22"/>
                <w:lang w:val="en-US" w:eastAsia="en-GB"/>
              </w:rPr>
              <w:t xml:space="preserve"> Statement of </w:t>
            </w:r>
            <w:r>
              <w:rPr>
                <w:rFonts w:cs="Arial"/>
                <w:sz w:val="22"/>
                <w:szCs w:val="22"/>
                <w:lang w:val="en-US" w:eastAsia="en-GB"/>
              </w:rPr>
              <w:t xml:space="preserve">Principles (Policy) </w:t>
            </w:r>
            <w:r w:rsidRPr="006E6114">
              <w:rPr>
                <w:rFonts w:cs="Arial"/>
                <w:sz w:val="22"/>
                <w:szCs w:val="22"/>
                <w:lang w:val="en-US" w:eastAsia="en-GB"/>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93D8" w14:textId="77777777" w:rsidR="000F1259" w:rsidRPr="006E6114" w:rsidRDefault="000F1259" w:rsidP="000F1259">
            <w:pPr>
              <w:pStyle w:val="ListParagraph"/>
              <w:numPr>
                <w:ilvl w:val="0"/>
                <w:numId w:val="15"/>
              </w:numPr>
              <w:suppressAutoHyphens/>
              <w:autoSpaceDN w:val="0"/>
              <w:ind w:left="171" w:right="141" w:hanging="171"/>
              <w:jc w:val="both"/>
              <w:textAlignment w:val="baseline"/>
              <w:rPr>
                <w:lang w:val="en-US"/>
              </w:rPr>
            </w:pPr>
            <w:r w:rsidRPr="006E6114">
              <w:t xml:space="preserve">Consultation on the proposed </w:t>
            </w:r>
            <w:r>
              <w:t>Licens</w:t>
            </w:r>
            <w:r w:rsidRPr="006E6114">
              <w:t xml:space="preserve">ing </w:t>
            </w:r>
            <w:r>
              <w:t xml:space="preserve">Statement of Principles (Policy) </w:t>
            </w:r>
            <w:r w:rsidRPr="006E6114">
              <w:t xml:space="preserve">took place in the borough </w:t>
            </w:r>
            <w:r>
              <w:t xml:space="preserve">for a period of 28 days </w:t>
            </w:r>
          </w:p>
          <w:p w14:paraId="2B5A8FF3" w14:textId="77777777" w:rsidR="000F1259" w:rsidRPr="0034665C" w:rsidRDefault="000F1259" w:rsidP="000F1259">
            <w:pPr>
              <w:pStyle w:val="ListParagraph"/>
              <w:numPr>
                <w:ilvl w:val="0"/>
                <w:numId w:val="15"/>
              </w:numPr>
              <w:suppressAutoHyphens/>
              <w:autoSpaceDN w:val="0"/>
              <w:ind w:left="171" w:right="141" w:hanging="171"/>
              <w:jc w:val="both"/>
              <w:textAlignment w:val="baseline"/>
              <w:rPr>
                <w:lang w:val="en-US"/>
              </w:rPr>
            </w:pPr>
            <w:r w:rsidRPr="006E6114">
              <w:t xml:space="preserve">The consultation was carried out in accordance with Guidance </w:t>
            </w:r>
            <w:r>
              <w:t>and under the Licens</w:t>
            </w:r>
            <w:r w:rsidRPr="00817D34">
              <w:t xml:space="preserve">ing Act </w:t>
            </w:r>
            <w:r>
              <w:t>2003</w:t>
            </w:r>
          </w:p>
          <w:p w14:paraId="4C5125E2" w14:textId="77777777" w:rsidR="000F1259" w:rsidRPr="0034665C" w:rsidRDefault="000F1259" w:rsidP="000F1259">
            <w:pPr>
              <w:pStyle w:val="ListParagraph"/>
              <w:numPr>
                <w:ilvl w:val="0"/>
                <w:numId w:val="15"/>
              </w:numPr>
              <w:suppressAutoHyphens/>
              <w:autoSpaceDN w:val="0"/>
              <w:ind w:left="171" w:right="141" w:hanging="171"/>
              <w:jc w:val="both"/>
              <w:textAlignment w:val="baseline"/>
              <w:rPr>
                <w:lang w:val="en-US"/>
              </w:rPr>
            </w:pPr>
            <w:r w:rsidRPr="0034665C">
              <w:t xml:space="preserve">Consultation undertaken included consultation with the Chief Officer of Police for the Harrow area, and a selection of local premises carrying out </w:t>
            </w:r>
            <w:r>
              <w:t xml:space="preserve">licensable </w:t>
            </w:r>
            <w:r w:rsidRPr="0034665C">
              <w:t>activities in Harrow and also a selection of resident’s associations</w:t>
            </w:r>
            <w:r>
              <w:t>.</w:t>
            </w:r>
            <w:r w:rsidRPr="0034665C">
              <w:t xml:space="preserve"> The consultation </w:t>
            </w:r>
            <w:r>
              <w:t xml:space="preserve">exercise </w:t>
            </w:r>
            <w:r w:rsidRPr="0034665C">
              <w:t xml:space="preserve">and </w:t>
            </w:r>
            <w:r>
              <w:t xml:space="preserve">the </w:t>
            </w:r>
            <w:r w:rsidRPr="0034665C">
              <w:t xml:space="preserve">proposed </w:t>
            </w:r>
            <w:r>
              <w:t xml:space="preserve">licensing </w:t>
            </w:r>
            <w:r w:rsidRPr="0034665C">
              <w:t xml:space="preserve">policy </w:t>
            </w:r>
            <w:r>
              <w:t xml:space="preserve">have also been </w:t>
            </w:r>
            <w:r w:rsidRPr="0034665C">
              <w:t xml:space="preserve">both published on the Council’s website in advance of this decision </w:t>
            </w:r>
            <w:r>
              <w:t>for anyone to comment</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vAlign w:val="center"/>
          </w:tcPr>
          <w:p w14:paraId="60272950" w14:textId="77777777" w:rsidR="000F1259" w:rsidRPr="008116E6" w:rsidRDefault="000F1259" w:rsidP="00AF797B">
            <w:pPr>
              <w:ind w:right="141"/>
              <w:jc w:val="center"/>
              <w:rPr>
                <w:rFonts w:cs="Arial"/>
                <w:b/>
                <w:bCs/>
                <w:sz w:val="22"/>
                <w:szCs w:val="22"/>
                <w:lang w:val="en-US" w:eastAsia="en-GB"/>
              </w:rPr>
            </w:pPr>
            <w:r w:rsidRPr="008116E6">
              <w:rPr>
                <w:rFonts w:cs="Arial"/>
                <w:b/>
                <w:bCs/>
                <w:sz w:val="22"/>
                <w:szCs w:val="22"/>
                <w:lang w:val="en-US" w:eastAsia="en-GB"/>
              </w:rPr>
              <w:t>Green</w:t>
            </w:r>
          </w:p>
        </w:tc>
      </w:tr>
    </w:tbl>
    <w:p w14:paraId="25FCB08D" w14:textId="77777777" w:rsidR="000F1259" w:rsidRPr="004C6C1D" w:rsidRDefault="000F1259" w:rsidP="000F1259">
      <w:pPr>
        <w:jc w:val="both"/>
      </w:pPr>
    </w:p>
    <w:p w14:paraId="6A0DE152" w14:textId="77777777" w:rsidR="000F1259" w:rsidRDefault="000F1259" w:rsidP="000F1259">
      <w:pPr>
        <w:pStyle w:val="infotext0"/>
        <w:spacing w:before="0" w:after="0"/>
        <w:ind w:left="576" w:right="81" w:hanging="576"/>
        <w:jc w:val="both"/>
        <w:rPr>
          <w:rFonts w:ascii="Arial" w:hAnsi="Arial" w:cs="Arial"/>
        </w:rPr>
      </w:pPr>
    </w:p>
    <w:p w14:paraId="3189E74C"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lastRenderedPageBreak/>
        <w:t>2.</w:t>
      </w:r>
      <w:r>
        <w:rPr>
          <w:rFonts w:cs="Arial"/>
          <w:b/>
          <w:bCs/>
          <w:color w:val="0000FF"/>
          <w:sz w:val="28"/>
          <w:szCs w:val="32"/>
        </w:rPr>
        <w:t>8</w:t>
      </w:r>
      <w:r w:rsidRPr="00716366">
        <w:rPr>
          <w:rFonts w:cs="Arial"/>
          <w:b/>
          <w:bCs/>
          <w:color w:val="0000FF"/>
          <w:sz w:val="28"/>
          <w:szCs w:val="32"/>
        </w:rPr>
        <w:t xml:space="preserve"> </w:t>
      </w:r>
      <w:r>
        <w:rPr>
          <w:rFonts w:cs="Arial"/>
          <w:b/>
          <w:bCs/>
          <w:color w:val="0000FF"/>
          <w:sz w:val="28"/>
          <w:szCs w:val="32"/>
        </w:rPr>
        <w:t>Procurement Implications</w:t>
      </w:r>
    </w:p>
    <w:p w14:paraId="127B26A7" w14:textId="77777777" w:rsidR="000F1259" w:rsidRPr="00716366" w:rsidRDefault="000F1259" w:rsidP="000F1259">
      <w:pPr>
        <w:jc w:val="both"/>
      </w:pPr>
    </w:p>
    <w:p w14:paraId="1986988E" w14:textId="77777777" w:rsidR="000F1259" w:rsidRDefault="000F1259" w:rsidP="000F1259">
      <w:pPr>
        <w:jc w:val="both"/>
      </w:pPr>
      <w:r>
        <w:t>There are no procurement implications associated with this Report.</w:t>
      </w:r>
    </w:p>
    <w:p w14:paraId="5B9748CA" w14:textId="77777777" w:rsidR="000F1259" w:rsidRDefault="000F1259" w:rsidP="000F1259">
      <w:pPr>
        <w:jc w:val="both"/>
      </w:pPr>
    </w:p>
    <w:p w14:paraId="55D058FB" w14:textId="77777777" w:rsidR="000F1259" w:rsidRDefault="000F1259" w:rsidP="000F1259">
      <w:pPr>
        <w:jc w:val="both"/>
      </w:pPr>
    </w:p>
    <w:p w14:paraId="34F268BB" w14:textId="77777777" w:rsidR="000F1259" w:rsidRPr="00716366" w:rsidRDefault="000F1259" w:rsidP="000F1259">
      <w:pPr>
        <w:jc w:val="both"/>
        <w:outlineLvl w:val="1"/>
        <w:rPr>
          <w:rFonts w:cs="Arial"/>
          <w:b/>
          <w:bCs/>
          <w:color w:val="0000FF"/>
          <w:sz w:val="28"/>
          <w:szCs w:val="32"/>
        </w:rPr>
      </w:pPr>
      <w:r w:rsidRPr="00716366">
        <w:rPr>
          <w:rFonts w:cs="Arial"/>
          <w:b/>
          <w:bCs/>
          <w:color w:val="0000FF"/>
          <w:sz w:val="28"/>
          <w:szCs w:val="32"/>
        </w:rPr>
        <w:t>2.</w:t>
      </w:r>
      <w:r>
        <w:rPr>
          <w:rFonts w:cs="Arial"/>
          <w:b/>
          <w:bCs/>
          <w:color w:val="0000FF"/>
          <w:sz w:val="28"/>
          <w:szCs w:val="32"/>
        </w:rPr>
        <w:t>9</w:t>
      </w:r>
      <w:r w:rsidRPr="00716366">
        <w:rPr>
          <w:rFonts w:cs="Arial"/>
          <w:b/>
          <w:bCs/>
          <w:color w:val="0000FF"/>
          <w:sz w:val="28"/>
          <w:szCs w:val="32"/>
        </w:rPr>
        <w:t xml:space="preserve"> </w:t>
      </w:r>
      <w:r>
        <w:rPr>
          <w:rFonts w:cs="Arial"/>
          <w:b/>
          <w:bCs/>
          <w:color w:val="0000FF"/>
          <w:sz w:val="28"/>
          <w:szCs w:val="32"/>
        </w:rPr>
        <w:t>Resource Implications</w:t>
      </w:r>
    </w:p>
    <w:p w14:paraId="52A895B7" w14:textId="77777777" w:rsidR="000F1259" w:rsidRDefault="000F1259" w:rsidP="000F1259">
      <w:pPr>
        <w:jc w:val="both"/>
      </w:pPr>
    </w:p>
    <w:p w14:paraId="288467C5" w14:textId="77777777" w:rsidR="000F1259" w:rsidRPr="00716366" w:rsidRDefault="000F1259" w:rsidP="000F1259">
      <w:pPr>
        <w:jc w:val="both"/>
      </w:pPr>
      <w:r>
        <w:t xml:space="preserve">There are no resource implications associated with this Report. </w:t>
      </w:r>
    </w:p>
    <w:p w14:paraId="7A8DC5AF" w14:textId="77777777" w:rsidR="000F1259" w:rsidRPr="00716366" w:rsidRDefault="000F1259" w:rsidP="000F1259">
      <w:pPr>
        <w:jc w:val="both"/>
      </w:pPr>
    </w:p>
    <w:p w14:paraId="2BE5B19A" w14:textId="77777777" w:rsidR="000F1259" w:rsidRPr="000A365A" w:rsidRDefault="000F1259" w:rsidP="000F1259">
      <w:pPr>
        <w:jc w:val="both"/>
        <w:outlineLvl w:val="1"/>
        <w:rPr>
          <w:rFonts w:cs="Arial"/>
          <w:b/>
          <w:bCs/>
          <w:sz w:val="28"/>
          <w:szCs w:val="32"/>
        </w:rPr>
      </w:pPr>
      <w:r w:rsidRPr="000A365A">
        <w:rPr>
          <w:rFonts w:cs="Arial"/>
          <w:b/>
          <w:bCs/>
          <w:sz w:val="28"/>
          <w:szCs w:val="32"/>
        </w:rPr>
        <w:t>Council Priorities</w:t>
      </w:r>
    </w:p>
    <w:p w14:paraId="25DB317F" w14:textId="77777777" w:rsidR="000F1259" w:rsidRPr="00716366" w:rsidRDefault="000F1259" w:rsidP="000F1259">
      <w:pPr>
        <w:jc w:val="both"/>
      </w:pPr>
    </w:p>
    <w:p w14:paraId="4DAA3836" w14:textId="77777777" w:rsidR="000F1259" w:rsidRDefault="000F1259" w:rsidP="000F1259">
      <w:pPr>
        <w:jc w:val="both"/>
      </w:pPr>
      <w:r>
        <w:t>The Council priorities are:</w:t>
      </w:r>
    </w:p>
    <w:p w14:paraId="163B50A7" w14:textId="77777777" w:rsidR="000F1259" w:rsidRPr="00CD57D8" w:rsidRDefault="000F1259" w:rsidP="000F1259">
      <w:pPr>
        <w:rPr>
          <w:rFonts w:cs="Arial"/>
          <w:szCs w:val="24"/>
          <w:lang w:val="en-US"/>
        </w:rPr>
      </w:pPr>
    </w:p>
    <w:p w14:paraId="7C91D2C2" w14:textId="77777777" w:rsidR="000F1259" w:rsidRDefault="000F1259" w:rsidP="000F1259">
      <w:pPr>
        <w:pStyle w:val="StyleListParagraphBold"/>
        <w:numPr>
          <w:ilvl w:val="0"/>
          <w:numId w:val="16"/>
        </w:numPr>
        <w:rPr>
          <w:lang w:eastAsia="en-US"/>
        </w:rPr>
      </w:pPr>
      <w:r w:rsidRPr="00752110">
        <w:t>A council that puts residents first</w:t>
      </w:r>
    </w:p>
    <w:p w14:paraId="014F503F" w14:textId="77777777" w:rsidR="000F1259" w:rsidRPr="00752110" w:rsidRDefault="000F1259" w:rsidP="000F1259">
      <w:pPr>
        <w:pStyle w:val="StyleListParagraphBold"/>
        <w:rPr>
          <w:lang w:eastAsia="en-US"/>
        </w:rPr>
      </w:pPr>
    </w:p>
    <w:p w14:paraId="5AC6266D" w14:textId="432CFB46" w:rsidR="000F1259" w:rsidRDefault="000F1259" w:rsidP="000F1259">
      <w:pPr>
        <w:pStyle w:val="StyleListParagraphBold"/>
        <w:numPr>
          <w:ilvl w:val="0"/>
          <w:numId w:val="16"/>
        </w:numPr>
      </w:pPr>
      <w:r w:rsidRPr="00752110">
        <w:t>A borough that is clean and safe</w:t>
      </w:r>
    </w:p>
    <w:p w14:paraId="2260D3A3" w14:textId="77777777" w:rsidR="000F1259" w:rsidRDefault="000F1259" w:rsidP="000F1259">
      <w:pPr>
        <w:pStyle w:val="ListParagraph"/>
      </w:pPr>
    </w:p>
    <w:p w14:paraId="77A3D76C" w14:textId="77777777" w:rsidR="000F1259" w:rsidRPr="00752110" w:rsidRDefault="000F1259" w:rsidP="000F1259">
      <w:pPr>
        <w:pStyle w:val="StyleListParagraphBold"/>
        <w:numPr>
          <w:ilvl w:val="0"/>
          <w:numId w:val="16"/>
        </w:numPr>
      </w:pPr>
      <w:r w:rsidRPr="00752110">
        <w:t>A place where those in need are supported</w:t>
      </w:r>
    </w:p>
    <w:p w14:paraId="2FB08811" w14:textId="77777777" w:rsidR="000F1259" w:rsidRDefault="000F1259" w:rsidP="000F1259">
      <w:pPr>
        <w:pStyle w:val="StyleListParagraphBold"/>
      </w:pPr>
    </w:p>
    <w:p w14:paraId="33566EB2" w14:textId="77777777" w:rsidR="000F1259" w:rsidRDefault="000F1259" w:rsidP="000F1259">
      <w:pPr>
        <w:jc w:val="both"/>
      </w:pPr>
    </w:p>
    <w:p w14:paraId="650692BA" w14:textId="428A1FE2" w:rsidR="000F1259" w:rsidRDefault="000F1259" w:rsidP="000F1259">
      <w:pPr>
        <w:jc w:val="both"/>
      </w:pPr>
      <w:r w:rsidRPr="00716366">
        <w:t xml:space="preserve">The policy will </w:t>
      </w:r>
      <w:r>
        <w:t xml:space="preserve">support well run and compliant premises, therefore helping to achieve safe Borough  </w:t>
      </w:r>
    </w:p>
    <w:p w14:paraId="4837CF3F" w14:textId="77777777" w:rsidR="000F1259" w:rsidRDefault="000F1259" w:rsidP="000F1259">
      <w:pPr>
        <w:jc w:val="both"/>
      </w:pPr>
    </w:p>
    <w:p w14:paraId="20169063" w14:textId="77777777" w:rsidR="000F1259" w:rsidRDefault="000F1259" w:rsidP="000F1259">
      <w:pPr>
        <w:jc w:val="both"/>
      </w:pPr>
      <w:r>
        <w:t>The Licensing Objectives will be upheld by the policy, which are:</w:t>
      </w:r>
    </w:p>
    <w:p w14:paraId="1CADDA0B" w14:textId="77777777" w:rsidR="000F1259" w:rsidRDefault="000F1259" w:rsidP="000F1259">
      <w:pPr>
        <w:jc w:val="both"/>
      </w:pPr>
    </w:p>
    <w:p w14:paraId="549294B0" w14:textId="77777777" w:rsidR="000F1259" w:rsidRDefault="000F1259" w:rsidP="000F1259">
      <w:pPr>
        <w:numPr>
          <w:ilvl w:val="2"/>
          <w:numId w:val="17"/>
        </w:numPr>
        <w:rPr>
          <w:rFonts w:cs="Arial"/>
        </w:rPr>
      </w:pPr>
      <w:r w:rsidRPr="00623914">
        <w:rPr>
          <w:rFonts w:cs="Arial"/>
        </w:rPr>
        <w:t>Prevention of Crime &amp; Disorder</w:t>
      </w:r>
    </w:p>
    <w:p w14:paraId="165F02BA" w14:textId="77777777" w:rsidR="000F1259" w:rsidRDefault="000F1259" w:rsidP="000F1259">
      <w:pPr>
        <w:numPr>
          <w:ilvl w:val="2"/>
          <w:numId w:val="17"/>
        </w:numPr>
        <w:rPr>
          <w:rFonts w:cs="Arial"/>
        </w:rPr>
      </w:pPr>
      <w:r w:rsidRPr="00623914">
        <w:rPr>
          <w:rFonts w:cs="Arial"/>
        </w:rPr>
        <w:t>Prevention of a Public Nuisance </w:t>
      </w:r>
    </w:p>
    <w:p w14:paraId="55F8446E" w14:textId="77777777" w:rsidR="000F1259" w:rsidRDefault="000F1259" w:rsidP="000F1259">
      <w:pPr>
        <w:numPr>
          <w:ilvl w:val="2"/>
          <w:numId w:val="17"/>
        </w:numPr>
        <w:rPr>
          <w:rFonts w:cs="Arial"/>
        </w:rPr>
      </w:pPr>
      <w:r w:rsidRPr="00623914">
        <w:rPr>
          <w:rFonts w:cs="Arial"/>
        </w:rPr>
        <w:t>Protection of Children from Harm </w:t>
      </w:r>
    </w:p>
    <w:p w14:paraId="306605E8" w14:textId="77777777" w:rsidR="000F1259" w:rsidRPr="00623914" w:rsidRDefault="000F1259" w:rsidP="000F1259">
      <w:pPr>
        <w:numPr>
          <w:ilvl w:val="2"/>
          <w:numId w:val="17"/>
        </w:numPr>
        <w:rPr>
          <w:rFonts w:cs="Arial"/>
        </w:rPr>
      </w:pPr>
      <w:r w:rsidRPr="00623914">
        <w:rPr>
          <w:rFonts w:cs="Arial"/>
        </w:rPr>
        <w:t>Promoting Public Safety</w:t>
      </w:r>
    </w:p>
    <w:p w14:paraId="477798C4" w14:textId="77777777" w:rsidR="00FF71E5" w:rsidRDefault="00FF71E5" w:rsidP="00FF71E5">
      <w:pPr>
        <w:rPr>
          <w:rFonts w:cs="Arial"/>
        </w:rPr>
      </w:pPr>
    </w:p>
    <w:p w14:paraId="4E688EAA" w14:textId="77777777" w:rsidR="004A4A1D" w:rsidRDefault="004A4A1D" w:rsidP="004A4A1D">
      <w:pPr>
        <w:rPr>
          <w:rFonts w:cs="Arial"/>
          <w:szCs w:val="24"/>
        </w:rPr>
      </w:pPr>
    </w:p>
    <w:p w14:paraId="11BF41CC" w14:textId="5E5C841F" w:rsidR="002A2389" w:rsidRPr="008E23D6" w:rsidRDefault="00AE7A80" w:rsidP="008E23D6">
      <w:r w:rsidRPr="008E23D6">
        <w:rPr>
          <w:rFonts w:ascii="Arial Black" w:hAnsi="Arial Black"/>
          <w:sz w:val="32"/>
          <w:szCs w:val="32"/>
        </w:rPr>
        <w:t>S</w:t>
      </w:r>
      <w:r w:rsidR="002A2389" w:rsidRPr="008E23D6">
        <w:rPr>
          <w:rFonts w:ascii="Arial Black" w:hAnsi="Arial Black"/>
          <w:sz w:val="32"/>
          <w:szCs w:val="32"/>
        </w:rPr>
        <w:t>ection 3 - Statutory Officer Clearance</w:t>
      </w:r>
    </w:p>
    <w:p w14:paraId="077143F8" w14:textId="77777777" w:rsidR="002A2389" w:rsidRDefault="002A2389" w:rsidP="008D1750">
      <w:pPr>
        <w:keepNext/>
        <w:rPr>
          <w:rFonts w:cs="Arial"/>
        </w:rPr>
      </w:pPr>
    </w:p>
    <w:p w14:paraId="7F10A712" w14:textId="77777777" w:rsidR="000F1259" w:rsidRPr="00D117F0" w:rsidRDefault="00912904" w:rsidP="000F1259">
      <w:pPr>
        <w:jc w:val="both"/>
        <w:rPr>
          <w:b/>
          <w:sz w:val="28"/>
        </w:rPr>
      </w:pPr>
      <w:r w:rsidRPr="00A66326">
        <w:rPr>
          <w:b/>
          <w:sz w:val="28"/>
        </w:rPr>
        <w:t xml:space="preserve">Statutory Officer:  </w:t>
      </w:r>
      <w:r w:rsidR="000F1259" w:rsidRPr="00D117F0">
        <w:rPr>
          <w:b/>
          <w:sz w:val="28"/>
        </w:rPr>
        <w:t xml:space="preserve">Dawn Calvert </w:t>
      </w:r>
    </w:p>
    <w:p w14:paraId="1F493ADE" w14:textId="3CE65B6B" w:rsidR="00912904" w:rsidRPr="00A66326" w:rsidRDefault="00912904" w:rsidP="00912904">
      <w:pPr>
        <w:rPr>
          <w:sz w:val="28"/>
        </w:rPr>
      </w:pPr>
    </w:p>
    <w:p w14:paraId="57640BD9" w14:textId="1E45896F" w:rsidR="00912904" w:rsidRPr="00A66326" w:rsidRDefault="00912904" w:rsidP="00912904">
      <w:r w:rsidRPr="00A66326">
        <w:t>Signed by the Chief Financial Officer</w:t>
      </w:r>
    </w:p>
    <w:p w14:paraId="650DA37B" w14:textId="77777777" w:rsidR="00912904" w:rsidRPr="00A66326" w:rsidRDefault="00912904" w:rsidP="00912904">
      <w:pPr>
        <w:rPr>
          <w:sz w:val="28"/>
        </w:rPr>
      </w:pPr>
    </w:p>
    <w:p w14:paraId="5745A2E3" w14:textId="69AE8560" w:rsidR="00912904" w:rsidRPr="00A66326" w:rsidRDefault="00912904" w:rsidP="00912904">
      <w:pPr>
        <w:spacing w:after="480"/>
        <w:rPr>
          <w:sz w:val="28"/>
        </w:rPr>
      </w:pPr>
      <w:r w:rsidRPr="00A66326">
        <w:rPr>
          <w:b/>
          <w:sz w:val="28"/>
        </w:rPr>
        <w:t xml:space="preserve">Date:  </w:t>
      </w:r>
      <w:r w:rsidR="000F1259">
        <w:rPr>
          <w:b/>
          <w:sz w:val="28"/>
        </w:rPr>
        <w:t>06 11 2022</w:t>
      </w:r>
    </w:p>
    <w:p w14:paraId="2AD40A12" w14:textId="3DB25859" w:rsidR="000F1259" w:rsidRPr="00D117F0" w:rsidRDefault="000F1259" w:rsidP="000F1259">
      <w:pPr>
        <w:jc w:val="both"/>
        <w:rPr>
          <w:sz w:val="28"/>
        </w:rPr>
      </w:pPr>
      <w:r w:rsidRPr="00D117F0">
        <w:rPr>
          <w:b/>
          <w:sz w:val="28"/>
        </w:rPr>
        <w:t xml:space="preserve">Statutory Officer:  </w:t>
      </w:r>
      <w:r w:rsidR="002813B6">
        <w:rPr>
          <w:b/>
          <w:sz w:val="28"/>
        </w:rPr>
        <w:t>Paresh Mehta</w:t>
      </w:r>
    </w:p>
    <w:p w14:paraId="239318E0" w14:textId="6CB61793" w:rsidR="000F1259" w:rsidRPr="00D117F0" w:rsidRDefault="000F1259" w:rsidP="000F1259">
      <w:pPr>
        <w:jc w:val="both"/>
      </w:pPr>
      <w:r w:rsidRPr="00D117F0">
        <w:t xml:space="preserve">Signed </w:t>
      </w:r>
      <w:r w:rsidR="00851F63">
        <w:t>on behalf of</w:t>
      </w:r>
      <w:r w:rsidRPr="00D117F0">
        <w:t xml:space="preserve"> the Monitoring Officer</w:t>
      </w:r>
    </w:p>
    <w:p w14:paraId="5D2E1606" w14:textId="77777777" w:rsidR="000F1259" w:rsidRPr="00D117F0" w:rsidRDefault="000F1259" w:rsidP="000F1259">
      <w:pPr>
        <w:jc w:val="both"/>
        <w:rPr>
          <w:sz w:val="28"/>
        </w:rPr>
      </w:pPr>
    </w:p>
    <w:p w14:paraId="4C0FDD6A" w14:textId="6C6FB5BA" w:rsidR="000F1259" w:rsidRPr="00D117F0" w:rsidRDefault="000F1259" w:rsidP="000F1259">
      <w:pPr>
        <w:spacing w:after="480"/>
        <w:jc w:val="both"/>
        <w:rPr>
          <w:sz w:val="28"/>
        </w:rPr>
      </w:pPr>
      <w:r w:rsidRPr="00D117F0">
        <w:rPr>
          <w:b/>
          <w:sz w:val="28"/>
        </w:rPr>
        <w:t xml:space="preserve">Date:  </w:t>
      </w:r>
      <w:r w:rsidR="00851F63">
        <w:rPr>
          <w:b/>
          <w:sz w:val="28"/>
        </w:rPr>
        <w:t>23 1 2023</w:t>
      </w:r>
    </w:p>
    <w:p w14:paraId="17AE014E" w14:textId="20B361B5" w:rsidR="000F1259" w:rsidRPr="00D117F0" w:rsidRDefault="00AE7A80" w:rsidP="000F1259">
      <w:pPr>
        <w:jc w:val="both"/>
        <w:rPr>
          <w:sz w:val="28"/>
        </w:rPr>
      </w:pPr>
      <w:r>
        <w:rPr>
          <w:b/>
          <w:sz w:val="28"/>
        </w:rPr>
        <w:t>Head of Procurement</w:t>
      </w:r>
      <w:r w:rsidR="000F1259" w:rsidRPr="00D117F0">
        <w:rPr>
          <w:b/>
          <w:sz w:val="28"/>
        </w:rPr>
        <w:t>:  Nimesh Mehta</w:t>
      </w:r>
    </w:p>
    <w:p w14:paraId="0974BFFE" w14:textId="1CB8279C" w:rsidR="000F1259" w:rsidRPr="00D117F0" w:rsidRDefault="000F1259" w:rsidP="000F1259">
      <w:pPr>
        <w:jc w:val="both"/>
      </w:pPr>
      <w:r w:rsidRPr="00D117F0">
        <w:t>Signed by the Head of Procurement</w:t>
      </w:r>
    </w:p>
    <w:p w14:paraId="5EF61EA8" w14:textId="77777777" w:rsidR="000F1259" w:rsidRPr="00D117F0" w:rsidRDefault="000F1259" w:rsidP="000F1259">
      <w:pPr>
        <w:jc w:val="both"/>
        <w:rPr>
          <w:sz w:val="28"/>
        </w:rPr>
      </w:pPr>
    </w:p>
    <w:p w14:paraId="2302F364" w14:textId="4AFD6BB7" w:rsidR="000F1259" w:rsidRDefault="000F1259" w:rsidP="000F1259">
      <w:pPr>
        <w:spacing w:after="480"/>
        <w:jc w:val="both"/>
        <w:rPr>
          <w:b/>
          <w:sz w:val="28"/>
        </w:rPr>
      </w:pPr>
      <w:r w:rsidRPr="00D117F0">
        <w:rPr>
          <w:b/>
          <w:sz w:val="28"/>
        </w:rPr>
        <w:t>Date:  07 11 2022</w:t>
      </w:r>
    </w:p>
    <w:p w14:paraId="76A48AE8" w14:textId="6207C6FE" w:rsidR="00AE7A80" w:rsidRPr="00D117F0" w:rsidRDefault="00AE7A80" w:rsidP="00AE7A80">
      <w:pPr>
        <w:jc w:val="both"/>
        <w:rPr>
          <w:sz w:val="28"/>
        </w:rPr>
      </w:pPr>
      <w:r>
        <w:rPr>
          <w:b/>
          <w:sz w:val="28"/>
        </w:rPr>
        <w:lastRenderedPageBreak/>
        <w:t>Head of Internal Audit:</w:t>
      </w:r>
      <w:r w:rsidRPr="00D117F0">
        <w:rPr>
          <w:b/>
          <w:sz w:val="28"/>
        </w:rPr>
        <w:t xml:space="preserve"> Susan Dixson </w:t>
      </w:r>
    </w:p>
    <w:p w14:paraId="2171D3E7" w14:textId="77777777" w:rsidR="00AE7A80" w:rsidRPr="0014549E" w:rsidRDefault="00AE7A80" w:rsidP="00AE7A80">
      <w:pPr>
        <w:jc w:val="both"/>
      </w:pPr>
      <w:r w:rsidRPr="0014549E">
        <w:t>Signed by the Head of Internal Audit</w:t>
      </w:r>
    </w:p>
    <w:p w14:paraId="26DB14DE" w14:textId="77777777" w:rsidR="00AE7A80" w:rsidRPr="0014549E" w:rsidRDefault="00AE7A80" w:rsidP="00AE7A80">
      <w:pPr>
        <w:jc w:val="both"/>
        <w:rPr>
          <w:sz w:val="28"/>
        </w:rPr>
      </w:pPr>
    </w:p>
    <w:p w14:paraId="3DBC5B38" w14:textId="77777777" w:rsidR="00AE7A80" w:rsidRPr="00A66326" w:rsidRDefault="00AE7A80" w:rsidP="00AE7A80">
      <w:pPr>
        <w:spacing w:after="480"/>
        <w:jc w:val="both"/>
        <w:rPr>
          <w:sz w:val="28"/>
        </w:rPr>
      </w:pPr>
      <w:r w:rsidRPr="0014549E">
        <w:rPr>
          <w:b/>
          <w:sz w:val="28"/>
        </w:rPr>
        <w:t>Date:  07 11 2022</w:t>
      </w:r>
    </w:p>
    <w:p w14:paraId="43400D6F" w14:textId="5F69DA6F" w:rsidR="000F1259" w:rsidRPr="00D117F0" w:rsidRDefault="00AE7A80" w:rsidP="000F1259">
      <w:pPr>
        <w:rPr>
          <w:rFonts w:cs="Arial"/>
          <w:b/>
          <w:bCs/>
          <w:sz w:val="22"/>
          <w:lang w:eastAsia="en-GB"/>
        </w:rPr>
      </w:pPr>
      <w:r>
        <w:rPr>
          <w:b/>
          <w:sz w:val="28"/>
        </w:rPr>
        <w:t xml:space="preserve">Chief </w:t>
      </w:r>
      <w:r w:rsidR="000F1259" w:rsidRPr="00D117F0">
        <w:rPr>
          <w:b/>
          <w:sz w:val="28"/>
        </w:rPr>
        <w:t>Officer</w:t>
      </w:r>
      <w:r w:rsidR="000F1259" w:rsidRPr="00D117F0">
        <w:rPr>
          <w:bCs/>
          <w:sz w:val="28"/>
        </w:rPr>
        <w:t xml:space="preserve">:  </w:t>
      </w:r>
      <w:r w:rsidR="000F1259" w:rsidRPr="0014549E">
        <w:rPr>
          <w:b/>
          <w:sz w:val="28"/>
        </w:rPr>
        <w:t xml:space="preserve">Dipti Patel - Corporate Director of </w:t>
      </w:r>
      <w:r w:rsidR="000F1259">
        <w:rPr>
          <w:b/>
          <w:sz w:val="28"/>
        </w:rPr>
        <w:t>Place</w:t>
      </w:r>
    </w:p>
    <w:p w14:paraId="0B502774" w14:textId="77777777" w:rsidR="000F1259" w:rsidRPr="00D117F0" w:rsidRDefault="000F1259" w:rsidP="000F1259">
      <w:pPr>
        <w:jc w:val="both"/>
        <w:rPr>
          <w:sz w:val="28"/>
        </w:rPr>
      </w:pPr>
    </w:p>
    <w:p w14:paraId="1D065599" w14:textId="77777777" w:rsidR="000F1259" w:rsidRPr="00D117F0" w:rsidRDefault="000F1259" w:rsidP="000F1259">
      <w:pPr>
        <w:jc w:val="both"/>
      </w:pPr>
      <w:r w:rsidRPr="00D117F0">
        <w:t>Signed by the Corporate Director</w:t>
      </w:r>
    </w:p>
    <w:p w14:paraId="170E9ADD" w14:textId="77777777" w:rsidR="000F1259" w:rsidRPr="00D117F0" w:rsidRDefault="000F1259" w:rsidP="000F1259">
      <w:pPr>
        <w:jc w:val="both"/>
        <w:rPr>
          <w:sz w:val="28"/>
        </w:rPr>
      </w:pPr>
    </w:p>
    <w:p w14:paraId="2657C051" w14:textId="77777777" w:rsidR="000F1259" w:rsidRPr="00D117F0" w:rsidRDefault="000F1259" w:rsidP="000F1259">
      <w:pPr>
        <w:spacing w:after="480"/>
        <w:jc w:val="both"/>
        <w:rPr>
          <w:b/>
          <w:sz w:val="28"/>
        </w:rPr>
      </w:pPr>
      <w:r w:rsidRPr="00D117F0">
        <w:rPr>
          <w:b/>
          <w:sz w:val="28"/>
        </w:rPr>
        <w:t>Date:  07 11 2022</w:t>
      </w:r>
    </w:p>
    <w:p w14:paraId="686CE5D8" w14:textId="77777777" w:rsidR="00912904" w:rsidRPr="00435B5D" w:rsidRDefault="00912904" w:rsidP="00912904">
      <w:pPr>
        <w:pStyle w:val="Heading2"/>
        <w:spacing w:after="240"/>
      </w:pPr>
      <w:r>
        <w:t>Mandatory Checks</w:t>
      </w:r>
    </w:p>
    <w:p w14:paraId="34BA8136" w14:textId="05774961" w:rsidR="00912904" w:rsidRPr="00E90AFF" w:rsidRDefault="00912904" w:rsidP="00E90AFF">
      <w:pPr>
        <w:pStyle w:val="Heading3"/>
        <w:ind w:left="0" w:firstLine="0"/>
        <w:rPr>
          <w:sz w:val="28"/>
        </w:rPr>
      </w:pPr>
      <w:r w:rsidRPr="00E90AFF">
        <w:rPr>
          <w:sz w:val="28"/>
        </w:rPr>
        <w:t xml:space="preserve">Ward Councillors notified:  </w:t>
      </w:r>
      <w:r w:rsidR="000F1259">
        <w:rPr>
          <w:sz w:val="28"/>
        </w:rPr>
        <w:t>No</w:t>
      </w:r>
      <w:r w:rsidRPr="00E90AFF">
        <w:rPr>
          <w:sz w:val="28"/>
        </w:rPr>
        <w:t xml:space="preserve">, as it impacts on all Wards </w:t>
      </w:r>
    </w:p>
    <w:p w14:paraId="71FBC41D" w14:textId="4C46CDDA"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77581C02" w14:textId="77777777" w:rsidR="000F1259" w:rsidRDefault="000F1259" w:rsidP="000F1259">
      <w:pPr>
        <w:pStyle w:val="Infotext"/>
        <w:jc w:val="both"/>
      </w:pPr>
      <w:r w:rsidRPr="004E47FC">
        <w:rPr>
          <w:b/>
        </w:rPr>
        <w:t xml:space="preserve">Contact:  </w:t>
      </w:r>
      <w:r>
        <w:t>Ally Darwood</w:t>
      </w:r>
      <w:r w:rsidRPr="00295D8C">
        <w:t xml:space="preserve">, </w:t>
      </w:r>
      <w:r>
        <w:t>Team Leader Licensing</w:t>
      </w:r>
      <w:r w:rsidRPr="00295D8C">
        <w:t xml:space="preserve">, </w:t>
      </w:r>
      <w:r>
        <w:t xml:space="preserve"> </w:t>
      </w:r>
      <w:hyperlink r:id="rId11" w:history="1">
        <w:r>
          <w:rPr>
            <w:rStyle w:val="Hyperlink"/>
          </w:rPr>
          <w:t>Ally.Darwood</w:t>
        </w:r>
        <w:r w:rsidRPr="00281D1F">
          <w:rPr>
            <w:rStyle w:val="Hyperlink"/>
          </w:rPr>
          <w:t>@harrow.gov.uk</w:t>
        </w:r>
      </w:hyperlink>
      <w:r>
        <w:t xml:space="preserve"> </w:t>
      </w:r>
    </w:p>
    <w:p w14:paraId="0A3761DB" w14:textId="77777777" w:rsidR="000F1259" w:rsidRDefault="000F1259" w:rsidP="000F1259">
      <w:pPr>
        <w:pStyle w:val="Infotext"/>
        <w:jc w:val="both"/>
      </w:pPr>
    </w:p>
    <w:p w14:paraId="09B1BC0B" w14:textId="77777777" w:rsidR="000F1259" w:rsidRDefault="000F1259" w:rsidP="000F1259">
      <w:pPr>
        <w:pStyle w:val="Infotext"/>
        <w:jc w:val="both"/>
      </w:pPr>
      <w:r w:rsidRPr="0053100D">
        <w:rPr>
          <w:b/>
          <w:bCs/>
        </w:rPr>
        <w:t>Background papers</w:t>
      </w:r>
      <w:r>
        <w:t>: None</w:t>
      </w:r>
    </w:p>
    <w:p w14:paraId="6D64D64B" w14:textId="3E68483C" w:rsidR="002A2389" w:rsidRDefault="000F1259" w:rsidP="00912904">
      <w:pPr>
        <w:pStyle w:val="Infotext"/>
        <w:spacing w:before="360" w:after="240"/>
      </w:pPr>
      <w:r>
        <w:t>D</w:t>
      </w:r>
      <w:r w:rsidR="002A2389">
        <w:t xml:space="preserve">oes the report include the following considerations? </w:t>
      </w:r>
    </w:p>
    <w:p w14:paraId="507DF23B" w14:textId="66F25A7A" w:rsidR="00912904" w:rsidRDefault="00912904">
      <w:pPr>
        <w:pStyle w:val="Infotext"/>
        <w:tabs>
          <w:tab w:val="left" w:pos="656"/>
          <w:tab w:val="left" w:pos="6399"/>
        </w:tabs>
      </w:pPr>
      <w:r>
        <w:t>1.</w:t>
      </w:r>
      <w:r>
        <w:tab/>
        <w:t xml:space="preserve">Consultation </w:t>
      </w:r>
      <w:r>
        <w:tab/>
        <w:t xml:space="preserve">YES </w:t>
      </w:r>
    </w:p>
    <w:p w14:paraId="0AC2AC5C" w14:textId="7A85F7AC" w:rsidR="00912904" w:rsidRDefault="00912904">
      <w:pPr>
        <w:pStyle w:val="Infotext"/>
        <w:tabs>
          <w:tab w:val="left" w:pos="656"/>
          <w:tab w:val="left" w:pos="6399"/>
        </w:tabs>
      </w:pPr>
      <w:r>
        <w:t>2.</w:t>
      </w:r>
      <w:r>
        <w:tab/>
        <w:t>Priorities</w:t>
      </w:r>
      <w:r>
        <w:tab/>
        <w:t xml:space="preserve">NO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D5BC" w14:textId="77777777" w:rsidR="00861BD8" w:rsidRDefault="00861BD8">
      <w:r>
        <w:separator/>
      </w:r>
    </w:p>
  </w:endnote>
  <w:endnote w:type="continuationSeparator" w:id="0">
    <w:p w14:paraId="085A14CB" w14:textId="77777777" w:rsidR="00861BD8" w:rsidRDefault="008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3925" w14:textId="77777777" w:rsidR="00861BD8" w:rsidRDefault="00861BD8">
      <w:r>
        <w:separator/>
      </w:r>
    </w:p>
  </w:footnote>
  <w:footnote w:type="continuationSeparator" w:id="0">
    <w:p w14:paraId="2DEF1521" w14:textId="77777777" w:rsidR="00861BD8" w:rsidRDefault="0086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C669A"/>
    <w:multiLevelType w:val="hybridMultilevel"/>
    <w:tmpl w:val="E8522EEE"/>
    <w:lvl w:ilvl="0" w:tplc="A4387BD2">
      <w:start w:val="1"/>
      <w:numFmt w:val="bullet"/>
      <w:lvlText w:val=""/>
      <w:lvlJc w:val="left"/>
      <w:pPr>
        <w:ind w:left="720" w:hanging="360"/>
      </w:pPr>
      <w:rPr>
        <w:rFonts w:ascii="Symbol" w:hAnsi="Symbol" w:hint="default"/>
      </w:rPr>
    </w:lvl>
    <w:lvl w:ilvl="1" w:tplc="9F7E2712" w:tentative="1">
      <w:start w:val="1"/>
      <w:numFmt w:val="bullet"/>
      <w:lvlText w:val="o"/>
      <w:lvlJc w:val="left"/>
      <w:pPr>
        <w:ind w:left="1440" w:hanging="360"/>
      </w:pPr>
      <w:rPr>
        <w:rFonts w:ascii="Courier New" w:hAnsi="Courier New" w:hint="default"/>
      </w:rPr>
    </w:lvl>
    <w:lvl w:ilvl="2" w:tplc="3A2E78A6" w:tentative="1">
      <w:start w:val="1"/>
      <w:numFmt w:val="bullet"/>
      <w:lvlText w:val=""/>
      <w:lvlJc w:val="left"/>
      <w:pPr>
        <w:ind w:left="2160" w:hanging="360"/>
      </w:pPr>
      <w:rPr>
        <w:rFonts w:ascii="Wingdings" w:hAnsi="Wingdings" w:hint="default"/>
      </w:rPr>
    </w:lvl>
    <w:lvl w:ilvl="3" w:tplc="DA488010" w:tentative="1">
      <w:start w:val="1"/>
      <w:numFmt w:val="bullet"/>
      <w:lvlText w:val=""/>
      <w:lvlJc w:val="left"/>
      <w:pPr>
        <w:ind w:left="2880" w:hanging="360"/>
      </w:pPr>
      <w:rPr>
        <w:rFonts w:ascii="Symbol" w:hAnsi="Symbol" w:hint="default"/>
      </w:rPr>
    </w:lvl>
    <w:lvl w:ilvl="4" w:tplc="8910C81A" w:tentative="1">
      <w:start w:val="1"/>
      <w:numFmt w:val="bullet"/>
      <w:lvlText w:val="o"/>
      <w:lvlJc w:val="left"/>
      <w:pPr>
        <w:ind w:left="3600" w:hanging="360"/>
      </w:pPr>
      <w:rPr>
        <w:rFonts w:ascii="Courier New" w:hAnsi="Courier New" w:hint="default"/>
      </w:rPr>
    </w:lvl>
    <w:lvl w:ilvl="5" w:tplc="097054A0" w:tentative="1">
      <w:start w:val="1"/>
      <w:numFmt w:val="bullet"/>
      <w:lvlText w:val=""/>
      <w:lvlJc w:val="left"/>
      <w:pPr>
        <w:ind w:left="4320" w:hanging="360"/>
      </w:pPr>
      <w:rPr>
        <w:rFonts w:ascii="Wingdings" w:hAnsi="Wingdings" w:hint="default"/>
      </w:rPr>
    </w:lvl>
    <w:lvl w:ilvl="6" w:tplc="EC38D97E" w:tentative="1">
      <w:start w:val="1"/>
      <w:numFmt w:val="bullet"/>
      <w:lvlText w:val=""/>
      <w:lvlJc w:val="left"/>
      <w:pPr>
        <w:ind w:left="5040" w:hanging="360"/>
      </w:pPr>
      <w:rPr>
        <w:rFonts w:ascii="Symbol" w:hAnsi="Symbol" w:hint="default"/>
      </w:rPr>
    </w:lvl>
    <w:lvl w:ilvl="7" w:tplc="5C9AF986" w:tentative="1">
      <w:start w:val="1"/>
      <w:numFmt w:val="bullet"/>
      <w:lvlText w:val="o"/>
      <w:lvlJc w:val="left"/>
      <w:pPr>
        <w:ind w:left="5760" w:hanging="360"/>
      </w:pPr>
      <w:rPr>
        <w:rFonts w:ascii="Courier New" w:hAnsi="Courier New" w:hint="default"/>
      </w:rPr>
    </w:lvl>
    <w:lvl w:ilvl="8" w:tplc="16F289B2" w:tentative="1">
      <w:start w:val="1"/>
      <w:numFmt w:val="bullet"/>
      <w:lvlText w:val=""/>
      <w:lvlJc w:val="left"/>
      <w:pPr>
        <w:ind w:left="6480" w:hanging="360"/>
      </w:pPr>
      <w:rPr>
        <w:rFonts w:ascii="Wingdings" w:hAnsi="Wingding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F7B04"/>
    <w:multiLevelType w:val="hybridMultilevel"/>
    <w:tmpl w:val="EE1E9892"/>
    <w:lvl w:ilvl="0" w:tplc="D482015E">
      <w:start w:val="1"/>
      <w:numFmt w:val="decimal"/>
      <w:lvlText w:val="%1."/>
      <w:lvlJc w:val="left"/>
      <w:pPr>
        <w:ind w:left="720" w:hanging="360"/>
      </w:pPr>
      <w:rPr>
        <w:rFonts w:cs="Times New Roman" w:hint="default"/>
      </w:rPr>
    </w:lvl>
    <w:lvl w:ilvl="1" w:tplc="CACEB9B8">
      <w:start w:val="1"/>
      <w:numFmt w:val="lowerLetter"/>
      <w:lvlText w:val="%2)"/>
      <w:lvlJc w:val="left"/>
      <w:pPr>
        <w:ind w:left="1800" w:hanging="720"/>
      </w:pPr>
      <w:rPr>
        <w:rFonts w:ascii="Arial" w:eastAsia="Times New Roman" w:hAnsi="Arial" w:cs="Arial"/>
      </w:rPr>
    </w:lvl>
    <w:lvl w:ilvl="2" w:tplc="5AD29122">
      <w:start w:val="1"/>
      <w:numFmt w:val="bullet"/>
      <w:lvlText w:val="-"/>
      <w:lvlJc w:val="left"/>
      <w:pPr>
        <w:ind w:left="2340" w:hanging="360"/>
      </w:pPr>
      <w:rPr>
        <w:rFonts w:ascii="Arial" w:eastAsia="Times New Roman" w:hAnsi="Arial" w:cs="Arial" w:hint="default"/>
      </w:rPr>
    </w:lvl>
    <w:lvl w:ilvl="3" w:tplc="35AEC914" w:tentative="1">
      <w:start w:val="1"/>
      <w:numFmt w:val="decimal"/>
      <w:lvlText w:val="%4."/>
      <w:lvlJc w:val="left"/>
      <w:pPr>
        <w:ind w:left="2880" w:hanging="360"/>
      </w:pPr>
      <w:rPr>
        <w:rFonts w:cs="Times New Roman"/>
      </w:rPr>
    </w:lvl>
    <w:lvl w:ilvl="4" w:tplc="85C2E7DC" w:tentative="1">
      <w:start w:val="1"/>
      <w:numFmt w:val="lowerLetter"/>
      <w:lvlText w:val="%5."/>
      <w:lvlJc w:val="left"/>
      <w:pPr>
        <w:ind w:left="3600" w:hanging="360"/>
      </w:pPr>
      <w:rPr>
        <w:rFonts w:cs="Times New Roman"/>
      </w:rPr>
    </w:lvl>
    <w:lvl w:ilvl="5" w:tplc="82464F1E" w:tentative="1">
      <w:start w:val="1"/>
      <w:numFmt w:val="lowerRoman"/>
      <w:lvlText w:val="%6."/>
      <w:lvlJc w:val="right"/>
      <w:pPr>
        <w:ind w:left="4320" w:hanging="180"/>
      </w:pPr>
      <w:rPr>
        <w:rFonts w:cs="Times New Roman"/>
      </w:rPr>
    </w:lvl>
    <w:lvl w:ilvl="6" w:tplc="AFAABD14" w:tentative="1">
      <w:start w:val="1"/>
      <w:numFmt w:val="decimal"/>
      <w:lvlText w:val="%7."/>
      <w:lvlJc w:val="left"/>
      <w:pPr>
        <w:ind w:left="5040" w:hanging="360"/>
      </w:pPr>
      <w:rPr>
        <w:rFonts w:cs="Times New Roman"/>
      </w:rPr>
    </w:lvl>
    <w:lvl w:ilvl="7" w:tplc="25FA337E" w:tentative="1">
      <w:start w:val="1"/>
      <w:numFmt w:val="lowerLetter"/>
      <w:lvlText w:val="%8."/>
      <w:lvlJc w:val="left"/>
      <w:pPr>
        <w:ind w:left="5760" w:hanging="360"/>
      </w:pPr>
      <w:rPr>
        <w:rFonts w:cs="Times New Roman"/>
      </w:rPr>
    </w:lvl>
    <w:lvl w:ilvl="8" w:tplc="EDD83C82" w:tentative="1">
      <w:start w:val="1"/>
      <w:numFmt w:val="lowerRoman"/>
      <w:lvlText w:val="%9."/>
      <w:lvlJc w:val="right"/>
      <w:pPr>
        <w:ind w:left="6480" w:hanging="180"/>
      </w:pPr>
      <w:rPr>
        <w:rFonts w:cs="Times New Roman"/>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3"/>
  </w:num>
  <w:num w:numId="10">
    <w:abstractNumId w:val="13"/>
  </w:num>
  <w:num w:numId="11">
    <w:abstractNumId w:val="17"/>
  </w:num>
  <w:num w:numId="12">
    <w:abstractNumId w:val="12"/>
  </w:num>
  <w:num w:numId="13">
    <w:abstractNumId w:val="2"/>
  </w:num>
  <w:num w:numId="14">
    <w:abstractNumId w:val="5"/>
  </w:num>
  <w:num w:numId="15">
    <w:abstractNumId w:val="10"/>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C306B"/>
    <w:rsid w:val="000D2BF2"/>
    <w:rsid w:val="000D5870"/>
    <w:rsid w:val="000F1259"/>
    <w:rsid w:val="000F65C0"/>
    <w:rsid w:val="001939BA"/>
    <w:rsid w:val="001A6EB0"/>
    <w:rsid w:val="001B441D"/>
    <w:rsid w:val="001C5225"/>
    <w:rsid w:val="001E0219"/>
    <w:rsid w:val="00213BE7"/>
    <w:rsid w:val="00231A1D"/>
    <w:rsid w:val="00244120"/>
    <w:rsid w:val="002813B6"/>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26D8B"/>
    <w:rsid w:val="0063072B"/>
    <w:rsid w:val="00662891"/>
    <w:rsid w:val="006628B7"/>
    <w:rsid w:val="00675FCB"/>
    <w:rsid w:val="006A0B87"/>
    <w:rsid w:val="006B3942"/>
    <w:rsid w:val="006C3914"/>
    <w:rsid w:val="006C4D4C"/>
    <w:rsid w:val="006D3648"/>
    <w:rsid w:val="0071642E"/>
    <w:rsid w:val="00717E8A"/>
    <w:rsid w:val="0074184E"/>
    <w:rsid w:val="00743829"/>
    <w:rsid w:val="00755F8D"/>
    <w:rsid w:val="007855AE"/>
    <w:rsid w:val="00796503"/>
    <w:rsid w:val="007B0CB6"/>
    <w:rsid w:val="007D2BDA"/>
    <w:rsid w:val="007D56C8"/>
    <w:rsid w:val="007E3934"/>
    <w:rsid w:val="007E7303"/>
    <w:rsid w:val="007F0FE7"/>
    <w:rsid w:val="008212A0"/>
    <w:rsid w:val="00837F53"/>
    <w:rsid w:val="00851F63"/>
    <w:rsid w:val="00861BD8"/>
    <w:rsid w:val="00862DDC"/>
    <w:rsid w:val="008D1750"/>
    <w:rsid w:val="008D7800"/>
    <w:rsid w:val="008E23D6"/>
    <w:rsid w:val="008E2910"/>
    <w:rsid w:val="008E4913"/>
    <w:rsid w:val="00900464"/>
    <w:rsid w:val="0090100E"/>
    <w:rsid w:val="00912904"/>
    <w:rsid w:val="0093767E"/>
    <w:rsid w:val="00972A02"/>
    <w:rsid w:val="0097544B"/>
    <w:rsid w:val="0099517C"/>
    <w:rsid w:val="009A0937"/>
    <w:rsid w:val="009B2ECD"/>
    <w:rsid w:val="009B7914"/>
    <w:rsid w:val="009F3328"/>
    <w:rsid w:val="009F430B"/>
    <w:rsid w:val="00A160B2"/>
    <w:rsid w:val="00A16271"/>
    <w:rsid w:val="00A566E7"/>
    <w:rsid w:val="00A630BF"/>
    <w:rsid w:val="00A73B25"/>
    <w:rsid w:val="00A940D3"/>
    <w:rsid w:val="00A96FCA"/>
    <w:rsid w:val="00AA4BE8"/>
    <w:rsid w:val="00AC0AAB"/>
    <w:rsid w:val="00AC7BA9"/>
    <w:rsid w:val="00AE7A80"/>
    <w:rsid w:val="00B0425E"/>
    <w:rsid w:val="00B40AA6"/>
    <w:rsid w:val="00B72373"/>
    <w:rsid w:val="00B900E2"/>
    <w:rsid w:val="00B9118E"/>
    <w:rsid w:val="00BD6115"/>
    <w:rsid w:val="00BD684A"/>
    <w:rsid w:val="00C32DAE"/>
    <w:rsid w:val="00C40228"/>
    <w:rsid w:val="00C40E24"/>
    <w:rsid w:val="00C61B80"/>
    <w:rsid w:val="00C92D9A"/>
    <w:rsid w:val="00C96EF5"/>
    <w:rsid w:val="00CC02E2"/>
    <w:rsid w:val="00D25064"/>
    <w:rsid w:val="00D32B51"/>
    <w:rsid w:val="00D34668"/>
    <w:rsid w:val="00D3740E"/>
    <w:rsid w:val="00D40335"/>
    <w:rsid w:val="00D82F57"/>
    <w:rsid w:val="00D841A5"/>
    <w:rsid w:val="00D914D2"/>
    <w:rsid w:val="00DA25DB"/>
    <w:rsid w:val="00DB0791"/>
    <w:rsid w:val="00DD4251"/>
    <w:rsid w:val="00DD7DF6"/>
    <w:rsid w:val="00E02B50"/>
    <w:rsid w:val="00E03F11"/>
    <w:rsid w:val="00E06DC8"/>
    <w:rsid w:val="00E220B5"/>
    <w:rsid w:val="00E33D93"/>
    <w:rsid w:val="00E609EF"/>
    <w:rsid w:val="00E8515B"/>
    <w:rsid w:val="00E90AFF"/>
    <w:rsid w:val="00EF2F91"/>
    <w:rsid w:val="00F33EE3"/>
    <w:rsid w:val="00F4213B"/>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link w:val="ListParagraphChar"/>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character" w:customStyle="1" w:styleId="ListParagraphChar">
    <w:name w:val="List Paragraph Char"/>
    <w:link w:val="ListParagraph"/>
    <w:uiPriority w:val="34"/>
    <w:locked/>
    <w:rsid w:val="000F1259"/>
    <w:rPr>
      <w:rFonts w:ascii="Arial" w:eastAsia="Calibri" w:hAnsi="Arial" w:cs="Arial"/>
      <w:color w:val="000000"/>
      <w:sz w:val="22"/>
      <w:szCs w:val="22"/>
    </w:rPr>
  </w:style>
  <w:style w:type="character" w:styleId="CommentReference">
    <w:name w:val="annotation reference"/>
    <w:rsid w:val="000F1259"/>
    <w:rPr>
      <w:sz w:val="16"/>
      <w:szCs w:val="16"/>
    </w:rPr>
  </w:style>
  <w:style w:type="paragraph" w:styleId="CommentText">
    <w:name w:val="annotation text"/>
    <w:basedOn w:val="Normal"/>
    <w:link w:val="CommentTextChar"/>
    <w:rsid w:val="000F1259"/>
    <w:rPr>
      <w:sz w:val="20"/>
    </w:rPr>
  </w:style>
  <w:style w:type="character" w:customStyle="1" w:styleId="CommentTextChar">
    <w:name w:val="Comment Text Char"/>
    <w:basedOn w:val="DefaultParagraphFont"/>
    <w:link w:val="CommentText"/>
    <w:rsid w:val="000F1259"/>
    <w:rPr>
      <w:rFonts w:ascii="Arial" w:hAnsi="Arial"/>
      <w:lang w:eastAsia="en-US"/>
    </w:rPr>
  </w:style>
  <w:style w:type="paragraph" w:customStyle="1" w:styleId="legclearfix">
    <w:name w:val="legclearfix"/>
    <w:basedOn w:val="Normal"/>
    <w:rsid w:val="000F1259"/>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0F1259"/>
  </w:style>
  <w:style w:type="character" w:customStyle="1" w:styleId="legchangedelimiter">
    <w:name w:val="legchangedelimiter"/>
    <w:basedOn w:val="DefaultParagraphFont"/>
    <w:rsid w:val="000F1259"/>
  </w:style>
  <w:style w:type="character" w:customStyle="1" w:styleId="legsubstitution">
    <w:name w:val="legsubstitution"/>
    <w:basedOn w:val="DefaultParagraphFont"/>
    <w:rsid w:val="000F1259"/>
  </w:style>
  <w:style w:type="character" w:customStyle="1" w:styleId="legaddition">
    <w:name w:val="legaddition"/>
    <w:basedOn w:val="DefaultParagraphFont"/>
    <w:rsid w:val="000F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Phasey@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6AA85-BB2F-4C20-ADD5-0C11B3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6</cp:revision>
  <cp:lastPrinted>2007-07-12T09:53:00Z</cp:lastPrinted>
  <dcterms:created xsi:type="dcterms:W3CDTF">2023-01-13T10:37:00Z</dcterms:created>
  <dcterms:modified xsi:type="dcterms:W3CDTF">2023-01-31T12:21:00Z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